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D5" w:rsidRPr="00597952" w:rsidRDefault="001B0ED5" w:rsidP="00597952">
      <w:pPr>
        <w:spacing w:before="82" w:after="82"/>
        <w:ind w:left="82" w:right="82"/>
        <w:jc w:val="center"/>
        <w:rPr>
          <w:rFonts w:asciiTheme="minorHAnsi" w:eastAsia="Times New Roman" w:hAnsiTheme="minorHAnsi" w:cstheme="minorHAnsi"/>
          <w:b/>
          <w:color w:val="404040"/>
          <w:kern w:val="0"/>
          <w:sz w:val="32"/>
          <w:szCs w:val="32"/>
          <w:lang w:eastAsia="pl-PL"/>
        </w:rPr>
      </w:pPr>
      <w:r w:rsidRPr="00597952">
        <w:rPr>
          <w:rFonts w:asciiTheme="minorHAnsi" w:eastAsia="Times New Roman" w:hAnsiTheme="minorHAnsi" w:cstheme="minorHAnsi"/>
          <w:b/>
          <w:color w:val="404040"/>
          <w:kern w:val="0"/>
          <w:sz w:val="32"/>
          <w:szCs w:val="32"/>
          <w:lang w:eastAsia="pl-PL"/>
        </w:rPr>
        <w:t>Udostępnianie informacji publicznych w Urzędzie Gminy Krasnosielc</w:t>
      </w:r>
    </w:p>
    <w:p w:rsidR="00E23459" w:rsidRPr="001B0ED5" w:rsidRDefault="00E23459" w:rsidP="00597952">
      <w:pPr>
        <w:spacing w:before="82" w:after="82"/>
        <w:ind w:left="82" w:right="82" w:firstLine="278"/>
        <w:rPr>
          <w:rFonts w:asciiTheme="minorHAnsi" w:eastAsia="Times New Roman" w:hAnsiTheme="minorHAnsi" w:cstheme="minorHAnsi"/>
          <w:color w:val="404040"/>
          <w:kern w:val="0"/>
          <w:lang w:eastAsia="pl-PL"/>
        </w:rPr>
      </w:pPr>
      <w:r w:rsidRPr="001B0ED5">
        <w:rPr>
          <w:rFonts w:asciiTheme="minorHAnsi" w:eastAsia="Times New Roman" w:hAnsiTheme="minorHAnsi" w:cstheme="minorHAnsi"/>
          <w:color w:val="404040"/>
          <w:kern w:val="0"/>
          <w:lang w:eastAsia="pl-PL"/>
        </w:rPr>
        <w:t xml:space="preserve">Informacje publiczne, które nie zostały udostępnione w Biuletynie Informacji Publicznej gminy Krasnosielc , są udostępniane na pisemny wniosek osoby zainteresowanej. Dokumenty nie wymagające wyszukiwania, które mogą być udostępniane niezwłocznie, udostępnia się bez pisemnego wniosku. Udostępniane są wszystkie informacje publiczne z wyłączeniem: </w:t>
      </w:r>
    </w:p>
    <w:p w:rsidR="00E23459" w:rsidRPr="001B0ED5" w:rsidRDefault="00E23459" w:rsidP="00E23459">
      <w:pPr>
        <w:numPr>
          <w:ilvl w:val="0"/>
          <w:numId w:val="1"/>
        </w:numPr>
        <w:spacing w:before="100" w:beforeAutospacing="1" w:after="100" w:afterAutospacing="1"/>
        <w:rPr>
          <w:rFonts w:asciiTheme="minorHAnsi" w:eastAsia="Times New Roman" w:hAnsiTheme="minorHAnsi" w:cstheme="minorHAnsi"/>
          <w:color w:val="404040"/>
          <w:kern w:val="0"/>
          <w:lang w:eastAsia="pl-PL"/>
        </w:rPr>
      </w:pPr>
      <w:r w:rsidRPr="001B0ED5">
        <w:rPr>
          <w:rFonts w:asciiTheme="minorHAnsi" w:eastAsia="Times New Roman" w:hAnsiTheme="minorHAnsi" w:cstheme="minorHAnsi"/>
          <w:b/>
          <w:bCs/>
          <w:color w:val="404040"/>
          <w:kern w:val="0"/>
          <w:lang w:eastAsia="pl-PL"/>
        </w:rPr>
        <w:t xml:space="preserve">dokumentów niejawnych w rozumieniu ustawy z dnia 22 stycznia 1999 r. o ochronie informacji niejawnych (Dz. U. nr 11 poz. 95 z późniejszymi zmianami), </w:t>
      </w:r>
    </w:p>
    <w:p w:rsidR="00E23459" w:rsidRPr="001B0ED5" w:rsidRDefault="00E23459" w:rsidP="00E23459">
      <w:pPr>
        <w:numPr>
          <w:ilvl w:val="0"/>
          <w:numId w:val="1"/>
        </w:numPr>
        <w:spacing w:before="100" w:beforeAutospacing="1" w:after="100" w:afterAutospacing="1"/>
        <w:rPr>
          <w:rFonts w:asciiTheme="minorHAnsi" w:eastAsia="Times New Roman" w:hAnsiTheme="minorHAnsi" w:cstheme="minorHAnsi"/>
          <w:color w:val="404040"/>
          <w:kern w:val="0"/>
          <w:lang w:eastAsia="pl-PL"/>
        </w:rPr>
      </w:pPr>
      <w:r w:rsidRPr="001B0ED5">
        <w:rPr>
          <w:rFonts w:asciiTheme="minorHAnsi" w:eastAsia="Times New Roman" w:hAnsiTheme="minorHAnsi" w:cstheme="minorHAnsi"/>
          <w:b/>
          <w:bCs/>
          <w:color w:val="404040"/>
          <w:kern w:val="0"/>
          <w:lang w:eastAsia="pl-PL"/>
        </w:rPr>
        <w:t xml:space="preserve">dokumentów zawierających informacje objęte tajemnicą skarbową, bankową i statystyczną, </w:t>
      </w:r>
    </w:p>
    <w:p w:rsidR="00E23459" w:rsidRPr="001B0ED5" w:rsidRDefault="00E23459" w:rsidP="00E23459">
      <w:pPr>
        <w:numPr>
          <w:ilvl w:val="0"/>
          <w:numId w:val="1"/>
        </w:numPr>
        <w:spacing w:before="100" w:beforeAutospacing="1" w:after="100" w:afterAutospacing="1"/>
        <w:rPr>
          <w:rFonts w:asciiTheme="minorHAnsi" w:eastAsia="Times New Roman" w:hAnsiTheme="minorHAnsi" w:cstheme="minorHAnsi"/>
          <w:color w:val="404040"/>
          <w:kern w:val="0"/>
          <w:lang w:eastAsia="pl-PL"/>
        </w:rPr>
      </w:pPr>
      <w:r w:rsidRPr="001B0ED5">
        <w:rPr>
          <w:rFonts w:asciiTheme="minorHAnsi" w:eastAsia="Times New Roman" w:hAnsiTheme="minorHAnsi" w:cstheme="minorHAnsi"/>
          <w:b/>
          <w:bCs/>
          <w:color w:val="404040"/>
          <w:kern w:val="0"/>
          <w:lang w:eastAsia="pl-PL"/>
        </w:rPr>
        <w:t xml:space="preserve">dokumentów w zakresie objętym ochroną zbiorów danych osobowych, </w:t>
      </w:r>
    </w:p>
    <w:p w:rsidR="00E23459" w:rsidRPr="001B0ED5" w:rsidRDefault="00E23459" w:rsidP="00E23459">
      <w:pPr>
        <w:numPr>
          <w:ilvl w:val="0"/>
          <w:numId w:val="1"/>
        </w:numPr>
        <w:spacing w:before="100" w:beforeAutospacing="1" w:after="100" w:afterAutospacing="1"/>
        <w:rPr>
          <w:rFonts w:asciiTheme="minorHAnsi" w:eastAsia="Times New Roman" w:hAnsiTheme="minorHAnsi" w:cstheme="minorHAnsi"/>
          <w:color w:val="404040"/>
          <w:kern w:val="0"/>
          <w:lang w:eastAsia="pl-PL"/>
        </w:rPr>
      </w:pPr>
      <w:r w:rsidRPr="001B0ED5">
        <w:rPr>
          <w:rFonts w:asciiTheme="minorHAnsi" w:eastAsia="Times New Roman" w:hAnsiTheme="minorHAnsi" w:cstheme="minorHAnsi"/>
          <w:b/>
          <w:bCs/>
          <w:color w:val="404040"/>
          <w:kern w:val="0"/>
          <w:lang w:eastAsia="pl-PL"/>
        </w:rPr>
        <w:t xml:space="preserve">dokumentów zawierających informacje mogące naruszać prywatność osób fizycznych lub tajemnicę przedsiębiorcy, </w:t>
      </w:r>
    </w:p>
    <w:p w:rsidR="00E23459" w:rsidRPr="001B0ED5" w:rsidRDefault="00E23459" w:rsidP="00E23459">
      <w:pPr>
        <w:numPr>
          <w:ilvl w:val="0"/>
          <w:numId w:val="1"/>
        </w:numPr>
        <w:spacing w:before="100" w:beforeAutospacing="1" w:after="100" w:afterAutospacing="1"/>
        <w:rPr>
          <w:rFonts w:asciiTheme="minorHAnsi" w:eastAsia="Times New Roman" w:hAnsiTheme="minorHAnsi" w:cstheme="minorHAnsi"/>
          <w:color w:val="404040"/>
          <w:kern w:val="0"/>
          <w:lang w:eastAsia="pl-PL"/>
        </w:rPr>
      </w:pPr>
      <w:r w:rsidRPr="001B0ED5">
        <w:rPr>
          <w:rFonts w:asciiTheme="minorHAnsi" w:eastAsia="Times New Roman" w:hAnsiTheme="minorHAnsi" w:cstheme="minorHAnsi"/>
          <w:b/>
          <w:bCs/>
          <w:color w:val="404040"/>
          <w:kern w:val="0"/>
          <w:lang w:eastAsia="pl-PL"/>
        </w:rPr>
        <w:t xml:space="preserve">akt osobowych pracowników, list płac i innych dokumentów pracowniczych - z wyjątkiem płac osób zajmujących funkcje publiczne, </w:t>
      </w:r>
    </w:p>
    <w:p w:rsidR="00E23459" w:rsidRPr="001B0ED5" w:rsidRDefault="00E23459" w:rsidP="00E23459">
      <w:pPr>
        <w:numPr>
          <w:ilvl w:val="0"/>
          <w:numId w:val="1"/>
        </w:numPr>
        <w:spacing w:before="100" w:beforeAutospacing="1" w:after="100" w:afterAutospacing="1"/>
        <w:rPr>
          <w:rFonts w:asciiTheme="minorHAnsi" w:eastAsia="Times New Roman" w:hAnsiTheme="minorHAnsi" w:cstheme="minorHAnsi"/>
          <w:color w:val="404040"/>
          <w:kern w:val="0"/>
          <w:lang w:eastAsia="pl-PL"/>
        </w:rPr>
      </w:pPr>
      <w:r w:rsidRPr="001B0ED5">
        <w:rPr>
          <w:rFonts w:asciiTheme="minorHAnsi" w:eastAsia="Times New Roman" w:hAnsiTheme="minorHAnsi" w:cstheme="minorHAnsi"/>
          <w:b/>
          <w:bCs/>
          <w:color w:val="404040"/>
          <w:kern w:val="0"/>
          <w:lang w:eastAsia="pl-PL"/>
        </w:rPr>
        <w:t xml:space="preserve">dokumentów zawierających inną prawnie chronioną tajemnicę. </w:t>
      </w:r>
    </w:p>
    <w:p w:rsidR="00E23459" w:rsidRDefault="00E23459" w:rsidP="00E23459">
      <w:pPr>
        <w:spacing w:before="82" w:after="82"/>
        <w:ind w:left="82" w:right="82"/>
        <w:rPr>
          <w:rFonts w:asciiTheme="minorHAnsi" w:eastAsia="Times New Roman" w:hAnsiTheme="minorHAnsi" w:cstheme="minorHAnsi"/>
          <w:color w:val="404040"/>
          <w:kern w:val="0"/>
          <w:lang w:eastAsia="pl-PL"/>
        </w:rPr>
      </w:pPr>
      <w:r w:rsidRPr="001B0ED5">
        <w:rPr>
          <w:rFonts w:asciiTheme="minorHAnsi" w:eastAsia="Times New Roman" w:hAnsiTheme="minorHAnsi" w:cstheme="minorHAnsi"/>
          <w:b/>
          <w:bCs/>
          <w:color w:val="404040"/>
          <w:kern w:val="0"/>
          <w:u w:val="single"/>
          <w:lang w:eastAsia="pl-PL"/>
        </w:rPr>
        <w:t>Wymagane dokumenty:</w:t>
      </w:r>
      <w:r w:rsidRPr="001B0ED5">
        <w:rPr>
          <w:rFonts w:asciiTheme="minorHAnsi" w:eastAsia="Times New Roman" w:hAnsiTheme="minorHAnsi" w:cstheme="minorHAnsi"/>
          <w:b/>
          <w:bCs/>
          <w:color w:val="404040"/>
          <w:kern w:val="0"/>
          <w:lang w:eastAsia="pl-PL"/>
        </w:rPr>
        <w:t xml:space="preserve"> </w:t>
      </w:r>
      <w:r w:rsidRPr="001B0ED5">
        <w:rPr>
          <w:rFonts w:asciiTheme="minorHAnsi" w:eastAsia="Times New Roman" w:hAnsiTheme="minorHAnsi" w:cstheme="minorHAnsi"/>
          <w:b/>
          <w:bCs/>
          <w:color w:val="404040"/>
          <w:kern w:val="0"/>
          <w:lang w:eastAsia="pl-PL"/>
        </w:rPr>
        <w:br/>
      </w:r>
      <w:r w:rsidRPr="001B0ED5">
        <w:rPr>
          <w:rFonts w:asciiTheme="minorHAnsi" w:eastAsia="Times New Roman" w:hAnsiTheme="minorHAnsi" w:cstheme="minorHAnsi"/>
          <w:color w:val="404040"/>
          <w:kern w:val="0"/>
          <w:lang w:eastAsia="pl-PL"/>
        </w:rPr>
        <w:t xml:space="preserve">Wniosek o udzielenie informacji publicznej. </w:t>
      </w:r>
      <w:r w:rsidRPr="001B0ED5">
        <w:rPr>
          <w:rFonts w:asciiTheme="minorHAnsi" w:eastAsia="Times New Roman" w:hAnsiTheme="minorHAnsi" w:cstheme="minorHAnsi"/>
          <w:color w:val="404040"/>
          <w:kern w:val="0"/>
          <w:lang w:eastAsia="pl-PL"/>
        </w:rPr>
        <w:br/>
      </w:r>
      <w:r w:rsidRPr="001B0ED5">
        <w:rPr>
          <w:rFonts w:asciiTheme="minorHAnsi" w:eastAsia="Times New Roman" w:hAnsiTheme="minorHAnsi" w:cstheme="minorHAnsi"/>
          <w:color w:val="404040"/>
          <w:kern w:val="0"/>
          <w:lang w:eastAsia="pl-PL"/>
        </w:rPr>
        <w:br/>
      </w:r>
      <w:r w:rsidRPr="001B0ED5">
        <w:rPr>
          <w:rFonts w:asciiTheme="minorHAnsi" w:eastAsia="Times New Roman" w:hAnsiTheme="minorHAnsi" w:cstheme="minorHAnsi"/>
          <w:b/>
          <w:bCs/>
          <w:color w:val="404040"/>
          <w:kern w:val="0"/>
          <w:u w:val="single"/>
          <w:lang w:eastAsia="pl-PL"/>
        </w:rPr>
        <w:t>Opłaty:</w:t>
      </w:r>
      <w:r w:rsidRPr="001B0ED5">
        <w:rPr>
          <w:rFonts w:asciiTheme="minorHAnsi" w:eastAsia="Times New Roman" w:hAnsiTheme="minorHAnsi" w:cstheme="minorHAnsi"/>
          <w:b/>
          <w:bCs/>
          <w:color w:val="404040"/>
          <w:kern w:val="0"/>
          <w:lang w:eastAsia="pl-PL"/>
        </w:rPr>
        <w:t xml:space="preserve"> </w:t>
      </w:r>
      <w:r w:rsidRPr="001B0ED5">
        <w:rPr>
          <w:rFonts w:asciiTheme="minorHAnsi" w:eastAsia="Times New Roman" w:hAnsiTheme="minorHAnsi" w:cstheme="minorHAnsi"/>
          <w:color w:val="404040"/>
          <w:kern w:val="0"/>
          <w:lang w:eastAsia="pl-PL"/>
        </w:rPr>
        <w:br/>
        <w:t xml:space="preserve">Za udzielenie informacji publicznej mogą być pobierane opłaty, jeżeli urząd będzie musiał ponieść dodatkowe koszty związane ze wskazanym we wniosku sposobem udostępnienia lub koniecznością przekształcenia informacji na formę wskazaną we wniosku. Wnioskodawca powinien być poinformowany o wysokości opłaty. (art. 15 pkt. 1 Ustawy o dostępie do informacji publicznej z dnia 6 września 2001 r., </w:t>
      </w:r>
      <w:proofErr w:type="spellStart"/>
      <w:r w:rsidRPr="001B0ED5">
        <w:rPr>
          <w:rFonts w:asciiTheme="minorHAnsi" w:eastAsia="Times New Roman" w:hAnsiTheme="minorHAnsi" w:cstheme="minorHAnsi"/>
          <w:color w:val="404040"/>
          <w:kern w:val="0"/>
          <w:lang w:eastAsia="pl-PL"/>
        </w:rPr>
        <w:t>Dz.U</w:t>
      </w:r>
      <w:proofErr w:type="spellEnd"/>
      <w:r w:rsidRPr="001B0ED5">
        <w:rPr>
          <w:rFonts w:asciiTheme="minorHAnsi" w:eastAsia="Times New Roman" w:hAnsiTheme="minorHAnsi" w:cstheme="minorHAnsi"/>
          <w:color w:val="404040"/>
          <w:kern w:val="0"/>
          <w:lang w:eastAsia="pl-PL"/>
        </w:rPr>
        <w:t>. nr 112, poz. 1198)</w:t>
      </w:r>
      <w:r w:rsidRPr="001B0ED5">
        <w:rPr>
          <w:rFonts w:asciiTheme="minorHAnsi" w:eastAsia="Times New Roman" w:hAnsiTheme="minorHAnsi" w:cstheme="minorHAnsi"/>
          <w:color w:val="404040"/>
          <w:kern w:val="0"/>
          <w:lang w:eastAsia="pl-PL"/>
        </w:rPr>
        <w:br/>
      </w:r>
      <w:r w:rsidRPr="001B0ED5">
        <w:rPr>
          <w:rFonts w:asciiTheme="minorHAnsi" w:eastAsia="Times New Roman" w:hAnsiTheme="minorHAnsi" w:cstheme="minorHAnsi"/>
          <w:color w:val="404040"/>
          <w:kern w:val="0"/>
          <w:lang w:eastAsia="pl-PL"/>
        </w:rPr>
        <w:br/>
      </w:r>
      <w:r w:rsidRPr="001B0ED5">
        <w:rPr>
          <w:rFonts w:asciiTheme="minorHAnsi" w:eastAsia="Times New Roman" w:hAnsiTheme="minorHAnsi" w:cstheme="minorHAnsi"/>
          <w:b/>
          <w:bCs/>
          <w:color w:val="404040"/>
          <w:kern w:val="0"/>
          <w:lang w:eastAsia="pl-PL"/>
        </w:rPr>
        <w:t>Miejsce złożenia dokumentów:</w:t>
      </w:r>
      <w:r w:rsidRPr="001B0ED5">
        <w:rPr>
          <w:rFonts w:asciiTheme="minorHAnsi" w:eastAsia="Times New Roman" w:hAnsiTheme="minorHAnsi" w:cstheme="minorHAnsi"/>
          <w:color w:val="404040"/>
          <w:kern w:val="0"/>
          <w:lang w:eastAsia="pl-PL"/>
        </w:rPr>
        <w:t xml:space="preserve"> </w:t>
      </w:r>
      <w:r w:rsidRPr="001B0ED5">
        <w:rPr>
          <w:rFonts w:asciiTheme="minorHAnsi" w:eastAsia="Times New Roman" w:hAnsiTheme="minorHAnsi" w:cstheme="minorHAnsi"/>
          <w:color w:val="404040"/>
          <w:kern w:val="0"/>
          <w:lang w:eastAsia="pl-PL"/>
        </w:rPr>
        <w:br/>
        <w:t>Sekretariat Urzędu Gminy</w:t>
      </w:r>
      <w:r w:rsidR="00597952">
        <w:rPr>
          <w:rFonts w:asciiTheme="minorHAnsi" w:eastAsia="Times New Roman" w:hAnsiTheme="minorHAnsi" w:cstheme="minorHAnsi"/>
          <w:color w:val="404040"/>
          <w:kern w:val="0"/>
          <w:lang w:eastAsia="pl-PL"/>
        </w:rPr>
        <w:t xml:space="preserve"> Krasnosielc</w:t>
      </w:r>
      <w:r w:rsidRPr="001B0ED5">
        <w:rPr>
          <w:rFonts w:asciiTheme="minorHAnsi" w:eastAsia="Times New Roman" w:hAnsiTheme="minorHAnsi" w:cstheme="minorHAnsi"/>
          <w:color w:val="404040"/>
          <w:kern w:val="0"/>
          <w:lang w:eastAsia="pl-PL"/>
        </w:rPr>
        <w:br/>
      </w:r>
      <w:r w:rsidRPr="001B0ED5">
        <w:rPr>
          <w:rFonts w:asciiTheme="minorHAnsi" w:eastAsia="Times New Roman" w:hAnsiTheme="minorHAnsi" w:cstheme="minorHAnsi"/>
          <w:color w:val="404040"/>
          <w:kern w:val="0"/>
          <w:lang w:eastAsia="pl-PL"/>
        </w:rPr>
        <w:br/>
      </w:r>
      <w:r w:rsidRPr="001B0ED5">
        <w:rPr>
          <w:rFonts w:asciiTheme="minorHAnsi" w:eastAsia="Times New Roman" w:hAnsiTheme="minorHAnsi" w:cstheme="minorHAnsi"/>
          <w:b/>
          <w:bCs/>
          <w:color w:val="404040"/>
          <w:kern w:val="0"/>
          <w:lang w:eastAsia="pl-PL"/>
        </w:rPr>
        <w:t>Termin załatwienia sprawy:</w:t>
      </w:r>
      <w:r w:rsidRPr="001B0ED5">
        <w:rPr>
          <w:rFonts w:asciiTheme="minorHAnsi" w:eastAsia="Times New Roman" w:hAnsiTheme="minorHAnsi" w:cstheme="minorHAnsi"/>
          <w:color w:val="404040"/>
          <w:kern w:val="0"/>
          <w:lang w:eastAsia="pl-PL"/>
        </w:rPr>
        <w:t xml:space="preserve"> </w:t>
      </w:r>
      <w:r w:rsidRPr="001B0ED5">
        <w:rPr>
          <w:rFonts w:asciiTheme="minorHAnsi" w:eastAsia="Times New Roman" w:hAnsiTheme="minorHAnsi" w:cstheme="minorHAnsi"/>
          <w:color w:val="404040"/>
          <w:kern w:val="0"/>
          <w:lang w:eastAsia="pl-PL"/>
        </w:rPr>
        <w:br/>
        <w:t>Niezwłocznie, nie później niż w terminie 14 dni od dnia złożenia wniosku. Odmowa udostępnienia informacji publicznej następuje w drodze decyzji administracyjnej.</w:t>
      </w:r>
      <w:r w:rsidRPr="001B0ED5">
        <w:rPr>
          <w:rFonts w:asciiTheme="minorHAnsi" w:eastAsia="Times New Roman" w:hAnsiTheme="minorHAnsi" w:cstheme="minorHAnsi"/>
          <w:color w:val="404040"/>
          <w:kern w:val="0"/>
          <w:lang w:eastAsia="pl-PL"/>
        </w:rPr>
        <w:br/>
      </w:r>
      <w:r w:rsidRPr="001B0ED5">
        <w:rPr>
          <w:rFonts w:asciiTheme="minorHAnsi" w:eastAsia="Times New Roman" w:hAnsiTheme="minorHAnsi" w:cstheme="minorHAnsi"/>
          <w:color w:val="404040"/>
          <w:kern w:val="0"/>
          <w:lang w:eastAsia="pl-PL"/>
        </w:rPr>
        <w:br/>
      </w:r>
      <w:r w:rsidRPr="001B0ED5">
        <w:rPr>
          <w:rFonts w:asciiTheme="minorHAnsi" w:eastAsia="Times New Roman" w:hAnsiTheme="minorHAnsi" w:cstheme="minorHAnsi"/>
          <w:b/>
          <w:bCs/>
          <w:color w:val="404040"/>
          <w:kern w:val="0"/>
          <w:lang w:eastAsia="pl-PL"/>
        </w:rPr>
        <w:t>Tryb odwoławczy:</w:t>
      </w:r>
      <w:r w:rsidRPr="001B0ED5">
        <w:rPr>
          <w:rFonts w:asciiTheme="minorHAnsi" w:eastAsia="Times New Roman" w:hAnsiTheme="minorHAnsi" w:cstheme="minorHAnsi"/>
          <w:color w:val="404040"/>
          <w:kern w:val="0"/>
          <w:lang w:eastAsia="pl-PL"/>
        </w:rPr>
        <w:t xml:space="preserve"> </w:t>
      </w:r>
      <w:r w:rsidRPr="001B0ED5">
        <w:rPr>
          <w:rFonts w:asciiTheme="minorHAnsi" w:eastAsia="Times New Roman" w:hAnsiTheme="minorHAnsi" w:cstheme="minorHAnsi"/>
          <w:color w:val="404040"/>
          <w:kern w:val="0"/>
          <w:lang w:eastAsia="pl-PL"/>
        </w:rPr>
        <w:br/>
        <w:t>W przypadku odmowy udostępnienia informacji publicznej wnioskodawcy przysługuje odwołanie. Odwołanie od decyzji rozpatruje się w terminie 14 dni.</w:t>
      </w:r>
      <w:r w:rsidRPr="001B0ED5">
        <w:rPr>
          <w:rFonts w:asciiTheme="minorHAnsi" w:eastAsia="Times New Roman" w:hAnsiTheme="minorHAnsi" w:cstheme="minorHAnsi"/>
          <w:color w:val="404040"/>
          <w:kern w:val="0"/>
          <w:lang w:eastAsia="pl-PL"/>
        </w:rPr>
        <w:br/>
      </w:r>
      <w:r w:rsidRPr="001B0ED5">
        <w:rPr>
          <w:rFonts w:asciiTheme="minorHAnsi" w:eastAsia="Times New Roman" w:hAnsiTheme="minorHAnsi" w:cstheme="minorHAnsi"/>
          <w:color w:val="404040"/>
          <w:kern w:val="0"/>
          <w:lang w:eastAsia="pl-PL"/>
        </w:rPr>
        <w:br/>
      </w:r>
      <w:r w:rsidRPr="001B0ED5">
        <w:rPr>
          <w:rFonts w:asciiTheme="minorHAnsi" w:eastAsia="Times New Roman" w:hAnsiTheme="minorHAnsi" w:cstheme="minorHAnsi"/>
          <w:b/>
          <w:bCs/>
          <w:color w:val="404040"/>
          <w:kern w:val="0"/>
          <w:lang w:eastAsia="pl-PL"/>
        </w:rPr>
        <w:t>Podstawa prawna:</w:t>
      </w:r>
      <w:r w:rsidRPr="001B0ED5">
        <w:rPr>
          <w:rFonts w:asciiTheme="minorHAnsi" w:eastAsia="Times New Roman" w:hAnsiTheme="minorHAnsi" w:cstheme="minorHAnsi"/>
          <w:color w:val="404040"/>
          <w:kern w:val="0"/>
          <w:lang w:eastAsia="pl-PL"/>
        </w:rPr>
        <w:t xml:space="preserve"> </w:t>
      </w:r>
      <w:r w:rsidRPr="001B0ED5">
        <w:rPr>
          <w:rFonts w:asciiTheme="minorHAnsi" w:eastAsia="Times New Roman" w:hAnsiTheme="minorHAnsi" w:cstheme="minorHAnsi"/>
          <w:color w:val="404040"/>
          <w:kern w:val="0"/>
          <w:lang w:eastAsia="pl-PL"/>
        </w:rPr>
        <w:br/>
        <w:t>Ustawa o dostępie do informacji publicznej z dnia 6 września 2</w:t>
      </w:r>
      <w:r w:rsidR="00597952">
        <w:rPr>
          <w:rFonts w:asciiTheme="minorHAnsi" w:eastAsia="Times New Roman" w:hAnsiTheme="minorHAnsi" w:cstheme="minorHAnsi"/>
          <w:color w:val="404040"/>
          <w:kern w:val="0"/>
          <w:lang w:eastAsia="pl-PL"/>
        </w:rPr>
        <w:t xml:space="preserve">001 r., </w:t>
      </w:r>
      <w:proofErr w:type="spellStart"/>
      <w:r w:rsidR="00597952">
        <w:rPr>
          <w:rFonts w:asciiTheme="minorHAnsi" w:eastAsia="Times New Roman" w:hAnsiTheme="minorHAnsi" w:cstheme="minorHAnsi"/>
          <w:color w:val="404040"/>
          <w:kern w:val="0"/>
          <w:lang w:eastAsia="pl-PL"/>
        </w:rPr>
        <w:t>Dz.U</w:t>
      </w:r>
      <w:proofErr w:type="spellEnd"/>
      <w:r w:rsidR="00597952">
        <w:rPr>
          <w:rFonts w:asciiTheme="minorHAnsi" w:eastAsia="Times New Roman" w:hAnsiTheme="minorHAnsi" w:cstheme="minorHAnsi"/>
          <w:color w:val="404040"/>
          <w:kern w:val="0"/>
          <w:lang w:eastAsia="pl-PL"/>
        </w:rPr>
        <w:t>. nr 112, poz. 1198 ze zm.</w:t>
      </w:r>
    </w:p>
    <w:p w:rsidR="00597952" w:rsidRDefault="00597952" w:rsidP="00E23459">
      <w:pPr>
        <w:spacing w:before="82" w:after="82"/>
        <w:ind w:left="82" w:right="82"/>
        <w:rPr>
          <w:rFonts w:asciiTheme="minorHAnsi" w:eastAsia="Times New Roman" w:hAnsiTheme="minorHAnsi" w:cstheme="minorHAnsi"/>
          <w:lang w:eastAsia="pl-PL"/>
        </w:rPr>
      </w:pPr>
    </w:p>
    <w:p w:rsidR="00597952" w:rsidRPr="001B0ED5" w:rsidRDefault="00597952" w:rsidP="00E23459">
      <w:pPr>
        <w:spacing w:before="82" w:after="82"/>
        <w:ind w:left="82" w:right="82"/>
        <w:rPr>
          <w:rFonts w:asciiTheme="minorHAnsi" w:eastAsia="Times New Roman" w:hAnsiTheme="minorHAnsi" w:cstheme="minorHAnsi"/>
          <w:color w:val="404040"/>
          <w:kern w:val="0"/>
          <w:lang w:eastAsia="pl-PL"/>
        </w:rPr>
      </w:pPr>
      <w:r>
        <w:rPr>
          <w:rFonts w:asciiTheme="minorHAnsi" w:eastAsia="Times New Roman" w:hAnsiTheme="minorHAnsi" w:cstheme="minorHAnsi"/>
          <w:lang w:eastAsia="pl-PL"/>
        </w:rPr>
        <w:tab/>
      </w:r>
      <w:r>
        <w:rPr>
          <w:rFonts w:asciiTheme="minorHAnsi" w:eastAsia="Times New Roman" w:hAnsiTheme="minorHAnsi" w:cstheme="minorHAnsi"/>
          <w:lang w:eastAsia="pl-PL"/>
        </w:rPr>
        <w:tab/>
      </w:r>
      <w:r>
        <w:rPr>
          <w:rFonts w:asciiTheme="minorHAnsi" w:eastAsia="Times New Roman" w:hAnsiTheme="minorHAnsi" w:cstheme="minorHAnsi"/>
          <w:lang w:eastAsia="pl-PL"/>
        </w:rPr>
        <w:tab/>
      </w:r>
      <w:r>
        <w:rPr>
          <w:rFonts w:asciiTheme="minorHAnsi" w:eastAsia="Times New Roman" w:hAnsiTheme="minorHAnsi" w:cstheme="minorHAnsi"/>
          <w:lang w:eastAsia="pl-PL"/>
        </w:rPr>
        <w:tab/>
      </w:r>
      <w:r>
        <w:rPr>
          <w:rFonts w:asciiTheme="minorHAnsi" w:eastAsia="Times New Roman" w:hAnsiTheme="minorHAnsi" w:cstheme="minorHAnsi"/>
          <w:lang w:eastAsia="pl-PL"/>
        </w:rPr>
        <w:tab/>
      </w:r>
      <w:r>
        <w:rPr>
          <w:rFonts w:asciiTheme="minorHAnsi" w:eastAsia="Times New Roman" w:hAnsiTheme="minorHAnsi" w:cstheme="minorHAnsi"/>
          <w:lang w:eastAsia="pl-PL"/>
        </w:rPr>
        <w:tab/>
      </w:r>
      <w:r>
        <w:rPr>
          <w:rFonts w:asciiTheme="minorHAnsi" w:eastAsia="Times New Roman" w:hAnsiTheme="minorHAnsi" w:cstheme="minorHAnsi"/>
          <w:lang w:eastAsia="pl-PL"/>
        </w:rPr>
        <w:tab/>
      </w:r>
      <w:r>
        <w:rPr>
          <w:rFonts w:asciiTheme="minorHAnsi" w:eastAsia="Times New Roman" w:hAnsiTheme="minorHAnsi" w:cstheme="minorHAnsi"/>
          <w:lang w:eastAsia="pl-PL"/>
        </w:rPr>
        <w:tab/>
      </w:r>
      <w:r>
        <w:rPr>
          <w:rFonts w:asciiTheme="minorHAnsi" w:eastAsia="Times New Roman" w:hAnsiTheme="minorHAnsi" w:cstheme="minorHAnsi"/>
          <w:lang w:eastAsia="pl-PL"/>
        </w:rPr>
        <w:tab/>
      </w:r>
    </w:p>
    <w:sectPr w:rsidR="00597952" w:rsidRPr="001B0ED5" w:rsidSect="006F71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874EF"/>
    <w:multiLevelType w:val="multilevel"/>
    <w:tmpl w:val="A77A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E23459"/>
    <w:rsid w:val="000A4C86"/>
    <w:rsid w:val="0014614B"/>
    <w:rsid w:val="001B0ED5"/>
    <w:rsid w:val="001F65D0"/>
    <w:rsid w:val="00244976"/>
    <w:rsid w:val="003B01A5"/>
    <w:rsid w:val="00597952"/>
    <w:rsid w:val="006F7135"/>
    <w:rsid w:val="0075418E"/>
    <w:rsid w:val="0081751E"/>
    <w:rsid w:val="008B3CD0"/>
    <w:rsid w:val="009C76B2"/>
    <w:rsid w:val="00A50054"/>
    <w:rsid w:val="00C111E8"/>
    <w:rsid w:val="00D54A66"/>
    <w:rsid w:val="00E23459"/>
    <w:rsid w:val="00E41D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ahoma"/>
        <w:kern w:val="3"/>
        <w:sz w:val="24"/>
        <w:szCs w:val="24"/>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713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23459"/>
    <w:pPr>
      <w:spacing w:before="82" w:after="82"/>
      <w:ind w:left="82" w:right="82"/>
    </w:pPr>
    <w:rPr>
      <w:rFonts w:ascii="Verdana" w:eastAsia="Times New Roman" w:hAnsi="Verdana" w:cs="Times New Roman"/>
      <w:color w:val="404040"/>
      <w:kern w:val="0"/>
      <w:sz w:val="16"/>
      <w:szCs w:val="16"/>
      <w:lang w:eastAsia="pl-PL"/>
    </w:rPr>
  </w:style>
  <w:style w:type="character" w:styleId="Pogrubienie">
    <w:name w:val="Strong"/>
    <w:basedOn w:val="Domylnaczcionkaakapitu"/>
    <w:uiPriority w:val="22"/>
    <w:qFormat/>
    <w:rsid w:val="00E23459"/>
    <w:rPr>
      <w:b/>
      <w:bCs/>
    </w:rPr>
  </w:style>
</w:styles>
</file>

<file path=word/webSettings.xml><?xml version="1.0" encoding="utf-8"?>
<w:webSettings xmlns:r="http://schemas.openxmlformats.org/officeDocument/2006/relationships" xmlns:w="http://schemas.openxmlformats.org/wordprocessingml/2006/main">
  <w:divs>
    <w:div w:id="223682415">
      <w:bodyDiv w:val="1"/>
      <w:marLeft w:val="0"/>
      <w:marRight w:val="0"/>
      <w:marTop w:val="0"/>
      <w:marBottom w:val="0"/>
      <w:divBdr>
        <w:top w:val="none" w:sz="0" w:space="0" w:color="auto"/>
        <w:left w:val="none" w:sz="0" w:space="0" w:color="auto"/>
        <w:bottom w:val="none" w:sz="0" w:space="0" w:color="auto"/>
        <w:right w:val="none" w:sz="0" w:space="0" w:color="auto"/>
      </w:divBdr>
      <w:divsChild>
        <w:div w:id="1049650998">
          <w:marLeft w:val="0"/>
          <w:marRight w:val="0"/>
          <w:marTop w:val="0"/>
          <w:marBottom w:val="0"/>
          <w:divBdr>
            <w:top w:val="none" w:sz="0" w:space="0" w:color="auto"/>
            <w:left w:val="none" w:sz="0" w:space="0" w:color="auto"/>
            <w:bottom w:val="none" w:sz="0" w:space="0" w:color="auto"/>
            <w:right w:val="none" w:sz="0" w:space="0" w:color="auto"/>
          </w:divBdr>
        </w:div>
        <w:div w:id="393312001">
          <w:marLeft w:val="0"/>
          <w:marRight w:val="0"/>
          <w:marTop w:val="0"/>
          <w:marBottom w:val="0"/>
          <w:divBdr>
            <w:top w:val="none" w:sz="0" w:space="0" w:color="auto"/>
            <w:left w:val="none" w:sz="0" w:space="0" w:color="auto"/>
            <w:bottom w:val="none" w:sz="0" w:space="0" w:color="auto"/>
            <w:right w:val="none" w:sz="0" w:space="0" w:color="auto"/>
          </w:divBdr>
        </w:div>
        <w:div w:id="370307296">
          <w:marLeft w:val="0"/>
          <w:marRight w:val="0"/>
          <w:marTop w:val="0"/>
          <w:marBottom w:val="0"/>
          <w:divBdr>
            <w:top w:val="none" w:sz="0" w:space="0" w:color="auto"/>
            <w:left w:val="none" w:sz="0" w:space="0" w:color="auto"/>
            <w:bottom w:val="none" w:sz="0" w:space="0" w:color="auto"/>
            <w:right w:val="none" w:sz="0" w:space="0" w:color="auto"/>
          </w:divBdr>
        </w:div>
        <w:div w:id="1533305145">
          <w:marLeft w:val="0"/>
          <w:marRight w:val="0"/>
          <w:marTop w:val="0"/>
          <w:marBottom w:val="0"/>
          <w:divBdr>
            <w:top w:val="none" w:sz="0" w:space="0" w:color="auto"/>
            <w:left w:val="none" w:sz="0" w:space="0" w:color="auto"/>
            <w:bottom w:val="none" w:sz="0" w:space="0" w:color="auto"/>
            <w:right w:val="none" w:sz="0" w:space="0" w:color="auto"/>
          </w:divBdr>
        </w:div>
        <w:div w:id="1965576182">
          <w:marLeft w:val="0"/>
          <w:marRight w:val="0"/>
          <w:marTop w:val="0"/>
          <w:marBottom w:val="0"/>
          <w:divBdr>
            <w:top w:val="none" w:sz="0" w:space="0" w:color="auto"/>
            <w:left w:val="none" w:sz="0" w:space="0" w:color="auto"/>
            <w:bottom w:val="none" w:sz="0" w:space="0" w:color="auto"/>
            <w:right w:val="none" w:sz="0" w:space="0" w:color="auto"/>
          </w:divBdr>
        </w:div>
        <w:div w:id="984776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1769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Gminy</dc:creator>
  <cp:lastModifiedBy>Urząd Gminy</cp:lastModifiedBy>
  <cp:revision>2</cp:revision>
  <cp:lastPrinted>2012-11-15T08:50:00Z</cp:lastPrinted>
  <dcterms:created xsi:type="dcterms:W3CDTF">2015-11-25T12:31:00Z</dcterms:created>
  <dcterms:modified xsi:type="dcterms:W3CDTF">2015-11-25T12:31:00Z</dcterms:modified>
</cp:coreProperties>
</file>