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C2" w:rsidRDefault="007117C2" w:rsidP="007117C2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Załącznik Nr 2</w:t>
      </w:r>
    </w:p>
    <w:p w:rsidR="007117C2" w:rsidRDefault="00391459" w:rsidP="007117C2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do Zarządzenia Nr </w:t>
      </w:r>
      <w:r w:rsidR="007D356F">
        <w:rPr>
          <w:rFonts w:ascii="Times New Roman" w:hAnsi="Times New Roman"/>
          <w:i/>
          <w:sz w:val="20"/>
          <w:szCs w:val="20"/>
        </w:rPr>
        <w:t>35/2015</w:t>
      </w:r>
    </w:p>
    <w:p w:rsidR="007117C2" w:rsidRDefault="007117C2" w:rsidP="007117C2">
      <w:pPr>
        <w:pStyle w:val="Stopka"/>
        <w:tabs>
          <w:tab w:val="left" w:pos="360"/>
        </w:tabs>
        <w:ind w:left="48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Wójta Gminy </w:t>
      </w:r>
      <w:r w:rsidR="00C53146">
        <w:rPr>
          <w:rFonts w:ascii="Times New Roman" w:hAnsi="Times New Roman"/>
          <w:i/>
          <w:sz w:val="20"/>
          <w:szCs w:val="20"/>
        </w:rPr>
        <w:t>Krasnosielc</w:t>
      </w:r>
    </w:p>
    <w:p w:rsidR="007117C2" w:rsidRDefault="007D356F" w:rsidP="007117C2">
      <w:pPr>
        <w:pStyle w:val="Stopka"/>
        <w:tabs>
          <w:tab w:val="left" w:pos="360"/>
        </w:tabs>
        <w:ind w:left="48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z dnia 24 czerwca 2015 r. </w:t>
      </w:r>
    </w:p>
    <w:p w:rsidR="007117C2" w:rsidRDefault="007117C2" w:rsidP="007117C2">
      <w:pPr>
        <w:pStyle w:val="Stopka"/>
        <w:tabs>
          <w:tab w:val="left" w:pos="360"/>
        </w:tabs>
        <w:ind w:left="4860"/>
        <w:rPr>
          <w:rFonts w:ascii="Times New Roman" w:hAnsi="Times New Roman"/>
          <w:i/>
          <w:sz w:val="20"/>
          <w:szCs w:val="20"/>
        </w:rPr>
      </w:pPr>
    </w:p>
    <w:p w:rsidR="00D73E51" w:rsidRDefault="00D73E51" w:rsidP="007117C2">
      <w:pPr>
        <w:pStyle w:val="Stopka"/>
        <w:tabs>
          <w:tab w:val="left" w:pos="360"/>
        </w:tabs>
        <w:ind w:left="4860"/>
        <w:rPr>
          <w:rFonts w:ascii="Times New Roman" w:hAnsi="Times New Roman"/>
          <w:i/>
          <w:sz w:val="20"/>
          <w:szCs w:val="20"/>
        </w:rPr>
      </w:pPr>
    </w:p>
    <w:p w:rsidR="007117C2" w:rsidRDefault="007117C2" w:rsidP="007117C2">
      <w:pPr>
        <w:rPr>
          <w:sz w:val="12"/>
          <w:szCs w:val="12"/>
        </w:rPr>
      </w:pPr>
    </w:p>
    <w:p w:rsidR="007117C2" w:rsidRPr="00C53146" w:rsidRDefault="007117C2" w:rsidP="007117C2">
      <w:pPr>
        <w:tabs>
          <w:tab w:val="center" w:pos="6725"/>
          <w:tab w:val="right" w:pos="11261"/>
        </w:tabs>
        <w:jc w:val="center"/>
        <w:rPr>
          <w:b/>
          <w:sz w:val="28"/>
          <w:szCs w:val="28"/>
        </w:rPr>
      </w:pPr>
      <w:r w:rsidRPr="00C53146">
        <w:rPr>
          <w:b/>
          <w:sz w:val="28"/>
          <w:szCs w:val="28"/>
        </w:rPr>
        <w:t>PROCEDURA  ZARZĄDZANIA  RYZYKIEM</w:t>
      </w:r>
    </w:p>
    <w:p w:rsidR="007117C2" w:rsidRPr="00C53146" w:rsidRDefault="007117C2" w:rsidP="007117C2">
      <w:pPr>
        <w:tabs>
          <w:tab w:val="left" w:pos="2100"/>
        </w:tabs>
        <w:jc w:val="center"/>
        <w:rPr>
          <w:b/>
          <w:spacing w:val="20"/>
          <w:sz w:val="28"/>
          <w:szCs w:val="28"/>
        </w:rPr>
      </w:pPr>
      <w:r w:rsidRPr="00C53146">
        <w:rPr>
          <w:b/>
          <w:spacing w:val="20"/>
          <w:sz w:val="28"/>
          <w:szCs w:val="28"/>
        </w:rPr>
        <w:t xml:space="preserve">w Urzędzie Gminy </w:t>
      </w:r>
      <w:r w:rsidR="00C53146">
        <w:rPr>
          <w:b/>
          <w:spacing w:val="20"/>
          <w:sz w:val="28"/>
          <w:szCs w:val="28"/>
        </w:rPr>
        <w:t>Krasnosielc</w:t>
      </w:r>
    </w:p>
    <w:p w:rsidR="00D73E51" w:rsidRDefault="00D73E51" w:rsidP="007117C2">
      <w:pPr>
        <w:tabs>
          <w:tab w:val="left" w:pos="2100"/>
        </w:tabs>
        <w:jc w:val="center"/>
        <w:rPr>
          <w:b/>
          <w:i/>
          <w:spacing w:val="20"/>
          <w:sz w:val="28"/>
          <w:szCs w:val="28"/>
        </w:rPr>
      </w:pPr>
    </w:p>
    <w:p w:rsidR="007117C2" w:rsidRDefault="007117C2" w:rsidP="007117C2">
      <w:pPr>
        <w:tabs>
          <w:tab w:val="center" w:pos="6725"/>
          <w:tab w:val="right" w:pos="11261"/>
        </w:tabs>
        <w:rPr>
          <w:b/>
        </w:rPr>
      </w:pPr>
    </w:p>
    <w:p w:rsidR="007117C2" w:rsidRDefault="007117C2" w:rsidP="007117C2">
      <w:pPr>
        <w:tabs>
          <w:tab w:val="center" w:pos="6725"/>
          <w:tab w:val="right" w:pos="11261"/>
        </w:tabs>
        <w:ind w:left="360"/>
        <w:jc w:val="center"/>
        <w:rPr>
          <w:b/>
        </w:rPr>
      </w:pPr>
      <w:r>
        <w:rPr>
          <w:b/>
        </w:rPr>
        <w:t>Postanowienia ogólne</w:t>
      </w:r>
    </w:p>
    <w:p w:rsidR="00C53146" w:rsidRDefault="00C53146" w:rsidP="007117C2">
      <w:pPr>
        <w:autoSpaceDE w:val="0"/>
        <w:jc w:val="center"/>
        <w:rPr>
          <w:rFonts w:ascii="TimesNewRomanPSMT" w:hAnsi="TimesNewRomanPSMT" w:cs="TimesNewRomanPSMT"/>
          <w:b/>
        </w:rPr>
      </w:pPr>
    </w:p>
    <w:p w:rsidR="007117C2" w:rsidRDefault="007117C2" w:rsidP="007117C2">
      <w:pPr>
        <w:autoSpaceDE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§ 1</w:t>
      </w:r>
      <w:r>
        <w:rPr>
          <w:rFonts w:ascii="TimesNewRomanPSMT" w:hAnsi="TimesNewRomanPSMT" w:cs="TimesNewRomanPSMT"/>
        </w:rPr>
        <w:t>.</w:t>
      </w:r>
    </w:p>
    <w:p w:rsidR="007117C2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Procedura określa zasady i tryb zarządzania ryzykiem w Urzędzie Gminy</w:t>
      </w:r>
      <w:r w:rsidR="00C53146">
        <w:rPr>
          <w:rFonts w:ascii="TimesNewRomanPSMT" w:hAnsi="TimesNewRomanPSMT" w:cs="TimesNewRomanPSMT"/>
        </w:rPr>
        <w:t xml:space="preserve"> Krasnosielc</w:t>
      </w:r>
      <w:r>
        <w:rPr>
          <w:rFonts w:ascii="TimesNewRomanPSMT" w:hAnsi="TimesNewRomanPSMT" w:cs="TimesNewRomanPSMT"/>
        </w:rPr>
        <w:t>.</w:t>
      </w: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Przez</w:t>
      </w:r>
      <w:r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</w:rPr>
        <w:t>użyte w ”Procedurze” określenia, należy rozumieć:</w:t>
      </w:r>
    </w:p>
    <w:p w:rsidR="007117C2" w:rsidRDefault="007117C2" w:rsidP="007117C2">
      <w:pPr>
        <w:numPr>
          <w:ilvl w:val="0"/>
          <w:numId w:val="1"/>
        </w:numPr>
        <w:tabs>
          <w:tab w:val="num" w:pos="426"/>
        </w:tabs>
        <w:autoSpaceDE w:val="0"/>
        <w:ind w:left="426" w:hanging="426"/>
        <w:jc w:val="both"/>
        <w:rPr>
          <w:rFonts w:eastAsia="TimesNewRoman"/>
        </w:rPr>
      </w:pPr>
      <w:r>
        <w:rPr>
          <w:rFonts w:eastAsia="TimesNewRoman"/>
          <w:b/>
        </w:rPr>
        <w:t>ryzyko -</w:t>
      </w:r>
      <w:r>
        <w:rPr>
          <w:rFonts w:eastAsia="TimesNewRoman"/>
        </w:rPr>
        <w:t xml:space="preserve"> prawdopodobieństwo wystąpienia zdarzenia, które może wpłynąć na osiąganie celów i realizację zadań nałożonych na jednostkę organizacyjną, tj. Urząd Gminy</w:t>
      </w:r>
      <w:r w:rsidR="00C53146">
        <w:rPr>
          <w:rFonts w:eastAsia="TimesNewRoman"/>
        </w:rPr>
        <w:t xml:space="preserve"> Krasnosielc </w:t>
      </w:r>
      <w:r>
        <w:rPr>
          <w:rFonts w:eastAsia="TimesNewRoman"/>
        </w:rPr>
        <w:t xml:space="preserve">, </w:t>
      </w:r>
    </w:p>
    <w:p w:rsidR="00D73E51" w:rsidRDefault="007117C2" w:rsidP="007117C2">
      <w:pPr>
        <w:numPr>
          <w:ilvl w:val="0"/>
          <w:numId w:val="1"/>
        </w:numPr>
        <w:tabs>
          <w:tab w:val="num" w:pos="426"/>
        </w:tabs>
        <w:autoSpaceDE w:val="0"/>
        <w:ind w:left="426" w:hanging="426"/>
        <w:jc w:val="both"/>
        <w:rPr>
          <w:rFonts w:eastAsia="TimesNewRoman"/>
        </w:rPr>
      </w:pPr>
      <w:r>
        <w:rPr>
          <w:b/>
          <w:bCs/>
        </w:rPr>
        <w:t xml:space="preserve">zarządzanie ryzykiem </w:t>
      </w:r>
      <w:r>
        <w:rPr>
          <w:rFonts w:eastAsia="TimesNewRoman"/>
        </w:rPr>
        <w:t xml:space="preserve">- podejmowanie działań mających na celu: </w:t>
      </w:r>
    </w:p>
    <w:p w:rsidR="00D73E51" w:rsidRDefault="007117C2" w:rsidP="00D73E51">
      <w:pPr>
        <w:pStyle w:val="Akapitzlist"/>
        <w:numPr>
          <w:ilvl w:val="0"/>
          <w:numId w:val="10"/>
        </w:numPr>
        <w:autoSpaceDE w:val="0"/>
        <w:jc w:val="both"/>
        <w:rPr>
          <w:rFonts w:eastAsia="TimesNewRoman"/>
        </w:rPr>
      </w:pPr>
      <w:r w:rsidRPr="00D73E51">
        <w:rPr>
          <w:rFonts w:eastAsia="TimesNewRoman"/>
        </w:rPr>
        <w:t>rozpoznanie,</w:t>
      </w:r>
    </w:p>
    <w:p w:rsidR="007117C2" w:rsidRDefault="007117C2" w:rsidP="00D73E51">
      <w:pPr>
        <w:pStyle w:val="Akapitzlist"/>
        <w:numPr>
          <w:ilvl w:val="0"/>
          <w:numId w:val="10"/>
        </w:numPr>
        <w:autoSpaceDE w:val="0"/>
        <w:jc w:val="both"/>
        <w:rPr>
          <w:rFonts w:eastAsia="TimesNewRoman"/>
        </w:rPr>
      </w:pPr>
      <w:r w:rsidRPr="00D73E51">
        <w:rPr>
          <w:rFonts w:eastAsia="TimesNewRoman"/>
        </w:rPr>
        <w:t xml:space="preserve"> ocenę, </w:t>
      </w:r>
    </w:p>
    <w:p w:rsidR="00D73E51" w:rsidRDefault="00D73E51" w:rsidP="00D73E51">
      <w:pPr>
        <w:pStyle w:val="Akapitzlist"/>
        <w:numPr>
          <w:ilvl w:val="0"/>
          <w:numId w:val="10"/>
        </w:numPr>
        <w:autoSpaceDE w:val="0"/>
        <w:jc w:val="both"/>
        <w:rPr>
          <w:rFonts w:eastAsia="TimesNewRoman"/>
        </w:rPr>
      </w:pPr>
      <w:r>
        <w:rPr>
          <w:rFonts w:eastAsia="TimesNewRoman"/>
        </w:rPr>
        <w:t>kontrolę podjętych działań,</w:t>
      </w:r>
    </w:p>
    <w:p w:rsidR="007117C2" w:rsidRPr="00D73E51" w:rsidRDefault="007117C2" w:rsidP="00D73E51">
      <w:pPr>
        <w:pStyle w:val="Akapitzlist"/>
        <w:numPr>
          <w:ilvl w:val="0"/>
          <w:numId w:val="10"/>
        </w:numPr>
        <w:autoSpaceDE w:val="0"/>
        <w:jc w:val="both"/>
        <w:rPr>
          <w:rFonts w:eastAsia="TimesNewRoman"/>
        </w:rPr>
      </w:pPr>
      <w:r w:rsidRPr="00D73E51">
        <w:rPr>
          <w:rFonts w:eastAsia="TimesNewRoman"/>
        </w:rPr>
        <w:t>nadzór i monitorowanie działań wchodzących w zakres realizacji celów oraz zadań jednostki oraz związanych z nim ryzyk.</w:t>
      </w:r>
    </w:p>
    <w:p w:rsidR="007117C2" w:rsidRDefault="007117C2" w:rsidP="007117C2">
      <w:pPr>
        <w:tabs>
          <w:tab w:val="left" w:pos="1200"/>
        </w:tabs>
        <w:autoSpaceDE w:val="0"/>
        <w:ind w:left="1440"/>
        <w:rPr>
          <w:rFonts w:eastAsia="TimesNewRoman"/>
        </w:rPr>
      </w:pPr>
    </w:p>
    <w:p w:rsidR="007117C2" w:rsidRDefault="007117C2" w:rsidP="007117C2">
      <w:pPr>
        <w:autoSpaceDE w:val="0"/>
        <w:jc w:val="center"/>
        <w:rPr>
          <w:rFonts w:ascii="TimesNewRomanPSMT" w:hAnsi="TimesNewRomanPSMT" w:cs="TimesNewRomanPSMT"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2</w:t>
      </w:r>
      <w:r>
        <w:rPr>
          <w:rFonts w:ascii="TimesNewRomanPSMT" w:hAnsi="TimesNewRomanPSMT" w:cs="TimesNewRomanPSMT"/>
        </w:rPr>
        <w:t>.</w:t>
      </w: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 Urzędzie Gminy </w:t>
      </w:r>
      <w:r w:rsidR="00C53146">
        <w:rPr>
          <w:rFonts w:ascii="TimesNewRomanPSMT" w:hAnsi="TimesNewRomanPSMT" w:cs="TimesNewRomanPSMT"/>
        </w:rPr>
        <w:t xml:space="preserve">Krasnosielc </w:t>
      </w:r>
      <w:r>
        <w:rPr>
          <w:rFonts w:ascii="TimesNewRomanPSMT" w:hAnsi="TimesNewRomanPSMT" w:cs="TimesNewRomanPSMT"/>
        </w:rPr>
        <w:t>za prawidłowe oraz skuteczne zarządzanie ryzykiem odpowiedzialność ponosi kierownik jednostki oraz pozostali pracownicy podejmujący w tym zakresie decyzje na podstawie uprawnień przyznanych im w dokumentacji wewnętrznej jednostki oraz na podstawie obowiązujących zakresów obowiązków.</w:t>
      </w: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</w:p>
    <w:p w:rsidR="007117C2" w:rsidRDefault="007117C2" w:rsidP="007117C2">
      <w:pPr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3.</w:t>
      </w: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zarządzania ryzykiem w Urzędzie Gminy </w:t>
      </w:r>
      <w:r w:rsidR="00C53146">
        <w:rPr>
          <w:rFonts w:ascii="TimesNewRomanPSMT" w:hAnsi="TimesNewRomanPSMT" w:cs="TimesNewRomanPSMT"/>
        </w:rPr>
        <w:t xml:space="preserve">Krasnosielc </w:t>
      </w:r>
      <w:r>
        <w:rPr>
          <w:rFonts w:ascii="TimesNewRomanPSMT" w:hAnsi="TimesNewRomanPSMT" w:cs="TimesNewRomanPSMT"/>
        </w:rPr>
        <w:t>jest zwiększenie prawdopodobieństwa osiągania celów jednostki i realizacji jej zadań.</w:t>
      </w: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</w:p>
    <w:p w:rsidR="007117C2" w:rsidRDefault="007117C2" w:rsidP="007117C2">
      <w:pPr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4.</w:t>
      </w:r>
    </w:p>
    <w:p w:rsidR="007117C2" w:rsidRDefault="00A242CC" w:rsidP="00D912EC">
      <w:pPr>
        <w:autoSpaceDE w:val="0"/>
        <w:jc w:val="both"/>
        <w:rPr>
          <w:rFonts w:eastAsia="TimesNewRoman"/>
        </w:rPr>
      </w:pPr>
      <w:r>
        <w:rPr>
          <w:rFonts w:eastAsia="TimesNewRoman"/>
        </w:rPr>
        <w:t xml:space="preserve">1. </w:t>
      </w:r>
      <w:r w:rsidR="007117C2">
        <w:rPr>
          <w:rFonts w:eastAsia="TimesNewRoman"/>
        </w:rPr>
        <w:t>Ryzyka ze względu na kształtujące je czynniki dzielimy na:</w:t>
      </w:r>
    </w:p>
    <w:p w:rsidR="007117C2" w:rsidRDefault="007117C2" w:rsidP="00D912EC">
      <w:pPr>
        <w:numPr>
          <w:ilvl w:val="1"/>
          <w:numId w:val="2"/>
        </w:numPr>
        <w:tabs>
          <w:tab w:val="num" w:pos="851"/>
        </w:tabs>
        <w:autoSpaceDE w:val="0"/>
        <w:ind w:left="851" w:hanging="425"/>
        <w:jc w:val="both"/>
        <w:rPr>
          <w:rFonts w:eastAsia="TimesNewRoman"/>
        </w:rPr>
      </w:pPr>
      <w:r>
        <w:rPr>
          <w:rFonts w:eastAsia="TimesNewRoman"/>
          <w:bCs/>
        </w:rPr>
        <w:t>zewnętrzne</w:t>
      </w:r>
      <w:r>
        <w:rPr>
          <w:rFonts w:eastAsia="TimesNewRoman"/>
          <w:b/>
          <w:bCs/>
        </w:rPr>
        <w:t xml:space="preserve"> </w:t>
      </w:r>
      <w:r>
        <w:rPr>
          <w:rFonts w:eastAsia="TimesNewRoman"/>
        </w:rPr>
        <w:t>– jest to rodzaj ryzyka determinowanego przez czynniki zewnętrzne, które występują niezależnie od zakresu działań prowadzonych przez jednostkę,</w:t>
      </w:r>
    </w:p>
    <w:p w:rsidR="00A66C02" w:rsidRDefault="007117C2" w:rsidP="00D912EC">
      <w:pPr>
        <w:numPr>
          <w:ilvl w:val="1"/>
          <w:numId w:val="2"/>
        </w:numPr>
        <w:tabs>
          <w:tab w:val="num" w:pos="851"/>
        </w:tabs>
        <w:autoSpaceDE w:val="0"/>
        <w:ind w:left="851" w:hanging="425"/>
        <w:jc w:val="both"/>
        <w:rPr>
          <w:rFonts w:eastAsia="TimesNewRoman"/>
        </w:rPr>
      </w:pPr>
      <w:r>
        <w:rPr>
          <w:rFonts w:eastAsia="TimesNewRoman"/>
          <w:bCs/>
        </w:rPr>
        <w:t>wewnętrzne</w:t>
      </w:r>
      <w:r>
        <w:rPr>
          <w:rFonts w:eastAsia="TimesNewRoman"/>
          <w:b/>
          <w:bCs/>
        </w:rPr>
        <w:t xml:space="preserve"> </w:t>
      </w:r>
      <w:r>
        <w:rPr>
          <w:rFonts w:eastAsia="TimesNewRoman"/>
        </w:rPr>
        <w:t>– ryzyko to wynika wprost z działalności jednostki oraz może być kontrolowane poprzez działania oraz decyzje podejmowane wewnątrz jednostki.</w:t>
      </w:r>
    </w:p>
    <w:p w:rsidR="00D912EC" w:rsidRDefault="00D912EC" w:rsidP="00D912EC">
      <w:pPr>
        <w:autoSpaceDE w:val="0"/>
        <w:ind w:left="851"/>
        <w:jc w:val="both"/>
        <w:rPr>
          <w:rFonts w:eastAsia="TimesNewRoman"/>
        </w:rPr>
      </w:pPr>
    </w:p>
    <w:p w:rsidR="00D73E51" w:rsidRPr="00D912EC" w:rsidRDefault="00D73E51" w:rsidP="00D912EC">
      <w:pPr>
        <w:autoSpaceDE w:val="0"/>
        <w:ind w:left="851"/>
        <w:jc w:val="both"/>
        <w:rPr>
          <w:rFonts w:eastAsia="TimesNewRoman"/>
        </w:rPr>
      </w:pPr>
    </w:p>
    <w:p w:rsidR="007117C2" w:rsidRDefault="007117C2" w:rsidP="007117C2">
      <w:pPr>
        <w:autoSpaceDE w:val="0"/>
        <w:jc w:val="center"/>
        <w:rPr>
          <w:b/>
        </w:rPr>
      </w:pPr>
      <w:r>
        <w:rPr>
          <w:b/>
        </w:rPr>
        <w:t>Proces zarządzania ryzykiem</w:t>
      </w:r>
    </w:p>
    <w:p w:rsidR="00AB666A" w:rsidRDefault="00AB666A" w:rsidP="00D912EC">
      <w:pPr>
        <w:autoSpaceDE w:val="0"/>
        <w:jc w:val="center"/>
        <w:rPr>
          <w:b/>
        </w:rPr>
      </w:pPr>
    </w:p>
    <w:p w:rsidR="00EA46BB" w:rsidRDefault="007117C2" w:rsidP="00D912EC">
      <w:pPr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5.</w:t>
      </w:r>
    </w:p>
    <w:p w:rsidR="00AB666A" w:rsidRDefault="00AB666A" w:rsidP="00D912EC">
      <w:pPr>
        <w:autoSpaceDE w:val="0"/>
        <w:jc w:val="center"/>
        <w:rPr>
          <w:rFonts w:ascii="TimesNewRomanPSMT" w:hAnsi="TimesNewRomanPSMT" w:cs="TimesNewRomanPSMT"/>
          <w:b/>
        </w:rPr>
      </w:pPr>
    </w:p>
    <w:p w:rsidR="007117C2" w:rsidRDefault="007117C2" w:rsidP="007117C2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Zarządzanie ryzykiem odbywa się poprzez:</w:t>
      </w:r>
    </w:p>
    <w:p w:rsidR="007117C2" w:rsidRDefault="007117C2" w:rsidP="007117C2">
      <w:pPr>
        <w:pStyle w:val="Akapitzlist"/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monitorowanie realizacji zadań Urzędu Gminy</w:t>
      </w:r>
      <w:r w:rsidR="00C53146">
        <w:rPr>
          <w:rFonts w:ascii="TimesNewRomanPSMT" w:hAnsi="TimesNewRomanPSMT" w:cs="TimesNewRomanPSMT"/>
        </w:rPr>
        <w:t xml:space="preserve"> Krasnosielc</w:t>
      </w:r>
      <w:r>
        <w:rPr>
          <w:rFonts w:ascii="TimesNewRomanPSMT" w:hAnsi="TimesNewRomanPSMT" w:cs="TimesNewRomanPSMT"/>
        </w:rPr>
        <w:t>;</w:t>
      </w:r>
    </w:p>
    <w:p w:rsidR="007117C2" w:rsidRDefault="00A66C02" w:rsidP="007117C2">
      <w:pPr>
        <w:pStyle w:val="Akapitzlist"/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identyfikację</w:t>
      </w:r>
      <w:r w:rsidR="007117C2">
        <w:rPr>
          <w:rFonts w:ascii="TimesNewRomanPSMT" w:hAnsi="TimesNewRomanPSMT" w:cs="TimesNewRomanPSMT"/>
        </w:rPr>
        <w:t xml:space="preserve"> i ocenę ryzyk z nimi związanych;</w:t>
      </w:r>
    </w:p>
    <w:p w:rsidR="007117C2" w:rsidRDefault="007117C2" w:rsidP="007117C2">
      <w:pPr>
        <w:pStyle w:val="Akapitzlist"/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metody przeciwdziałania ryzyku,</w:t>
      </w:r>
    </w:p>
    <w:p w:rsidR="007117C2" w:rsidRDefault="007117C2" w:rsidP="007117C2">
      <w:pPr>
        <w:pStyle w:val="Akapitzlist"/>
        <w:numPr>
          <w:ilvl w:val="0"/>
          <w:numId w:val="3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dokonywanie okresowego przeglądu zidentyfikowanych ryzyk.</w:t>
      </w:r>
    </w:p>
    <w:p w:rsidR="00C72329" w:rsidRPr="00D912EC" w:rsidRDefault="00C72329" w:rsidP="00D912EC">
      <w:pPr>
        <w:autoSpaceDE w:val="0"/>
        <w:jc w:val="both"/>
        <w:rPr>
          <w:rFonts w:ascii="TimesNewRomanPSMT" w:hAnsi="TimesNewRomanPSMT" w:cs="TimesNewRomanPSMT"/>
        </w:rPr>
      </w:pPr>
    </w:p>
    <w:p w:rsidR="007117C2" w:rsidRDefault="00C53146" w:rsidP="00D912EC">
      <w:pPr>
        <w:pStyle w:val="Akapitzlist"/>
        <w:autoSpaceDE w:val="0"/>
        <w:ind w:left="3552" w:firstLine="696"/>
        <w:rPr>
          <w:rFonts w:ascii="TimesNewRomanPSMT" w:hAnsi="TimesNewRomanPSMT" w:cs="TimesNewRomanPSMT"/>
          <w:b/>
        </w:rPr>
      </w:pPr>
      <w:r>
        <w:rPr>
          <w:b/>
        </w:rPr>
        <w:t xml:space="preserve">   </w:t>
      </w:r>
      <w:r w:rsidR="00AB666A">
        <w:rPr>
          <w:b/>
        </w:rPr>
        <w:t xml:space="preserve">   </w:t>
      </w:r>
      <w:r w:rsidR="007117C2">
        <w:rPr>
          <w:b/>
        </w:rPr>
        <w:t>§</w:t>
      </w:r>
      <w:r w:rsidR="007117C2">
        <w:rPr>
          <w:rFonts w:ascii="TimesNewRomanPSMT" w:hAnsi="TimesNewRomanPSMT" w:cs="TimesNewRomanPSMT"/>
          <w:b/>
        </w:rPr>
        <w:t xml:space="preserve"> 6.</w:t>
      </w:r>
      <w:r>
        <w:rPr>
          <w:rFonts w:ascii="TimesNewRomanPSMT" w:hAnsi="TimesNewRomanPSMT" w:cs="TimesNewRomanPSMT"/>
          <w:b/>
        </w:rPr>
        <w:t xml:space="preserve"> </w:t>
      </w:r>
    </w:p>
    <w:p w:rsidR="00C53146" w:rsidRDefault="00C53146" w:rsidP="00D912EC">
      <w:pPr>
        <w:pStyle w:val="Akapitzlist"/>
        <w:autoSpaceDE w:val="0"/>
        <w:ind w:left="3552" w:firstLine="696"/>
        <w:rPr>
          <w:rFonts w:ascii="TimesNewRomanPSMT" w:hAnsi="TimesNewRomanPSMT" w:cs="TimesNewRomanPSMT"/>
          <w:b/>
        </w:rPr>
      </w:pPr>
    </w:p>
    <w:p w:rsidR="00C72329" w:rsidRDefault="00C72329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 w:rsidRPr="00C72329">
        <w:rPr>
          <w:rFonts w:ascii="TimesNewRomanPSMT" w:hAnsi="TimesNewRomanPSMT" w:cs="TimesNewRomanPSMT"/>
          <w:b/>
        </w:rPr>
        <w:t>Monitorowanie realizacji zadań Urzędu Gminy</w:t>
      </w:r>
      <w:r w:rsidR="00C53146">
        <w:rPr>
          <w:rFonts w:ascii="TimesNewRomanPSMT" w:hAnsi="TimesNewRomanPSMT" w:cs="TimesNewRomanPSMT"/>
          <w:b/>
        </w:rPr>
        <w:t xml:space="preserve"> Krasnosielc</w:t>
      </w:r>
    </w:p>
    <w:p w:rsidR="00C72329" w:rsidRPr="00C72329" w:rsidRDefault="00C72329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7117C2" w:rsidRDefault="007117C2" w:rsidP="007117C2">
      <w:pPr>
        <w:pStyle w:val="Akapitzlist"/>
        <w:autoSpaceDE w:val="0"/>
        <w:ind w:left="0"/>
        <w:jc w:val="both"/>
      </w:pPr>
      <w:r w:rsidRPr="00C72329">
        <w:t>Monitorowanie realizacji zadań jednostki</w:t>
      </w:r>
      <w:r>
        <w:t xml:space="preserve"> jest procesem ciągłym i jest realizowany na każdym szczeblu zarządzania w celu bieżącego identyfikowania i rozwiazywania problemów.</w:t>
      </w:r>
    </w:p>
    <w:p w:rsidR="00C72329" w:rsidRPr="00A61A1D" w:rsidRDefault="00C72329" w:rsidP="007117C2">
      <w:pPr>
        <w:pStyle w:val="Akapitzlist"/>
        <w:autoSpaceDE w:val="0"/>
        <w:ind w:left="0"/>
        <w:jc w:val="both"/>
      </w:pPr>
    </w:p>
    <w:p w:rsidR="007117C2" w:rsidRDefault="007117C2" w:rsidP="00A61A1D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7.</w:t>
      </w:r>
    </w:p>
    <w:p w:rsidR="00AB666A" w:rsidRDefault="00AB666A" w:rsidP="00A61A1D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C72329" w:rsidRDefault="00C72329" w:rsidP="00A61A1D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 w:rsidRPr="00C72329">
        <w:rPr>
          <w:rFonts w:ascii="TimesNewRomanPSMT" w:hAnsi="TimesNewRomanPSMT" w:cs="TimesNewRomanPSMT"/>
          <w:b/>
        </w:rPr>
        <w:t>I</w:t>
      </w:r>
      <w:r>
        <w:rPr>
          <w:rFonts w:ascii="TimesNewRomanPSMT" w:hAnsi="TimesNewRomanPSMT" w:cs="TimesNewRomanPSMT"/>
          <w:b/>
        </w:rPr>
        <w:t>dentyfikacja i ocena</w:t>
      </w:r>
      <w:r w:rsidRPr="00C72329">
        <w:rPr>
          <w:rFonts w:ascii="TimesNewRomanPSMT" w:hAnsi="TimesNewRomanPSMT" w:cs="TimesNewRomanPSMT"/>
          <w:b/>
        </w:rPr>
        <w:t xml:space="preserve"> ryzyk związanych z realizacją zadań</w:t>
      </w:r>
    </w:p>
    <w:p w:rsidR="00C72329" w:rsidRPr="00C72329" w:rsidRDefault="00C72329" w:rsidP="00A61A1D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7117C2" w:rsidRPr="00D912EC" w:rsidRDefault="00A66C0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  <w:r w:rsidR="00C72329">
        <w:rPr>
          <w:rFonts w:ascii="TimesNewRomanPSMT" w:hAnsi="TimesNewRomanPSMT" w:cs="TimesNewRomanPSMT"/>
        </w:rPr>
        <w:t xml:space="preserve"> </w:t>
      </w:r>
      <w:r w:rsidRPr="00C72329">
        <w:rPr>
          <w:rFonts w:ascii="TimesNewRomanPSMT" w:hAnsi="TimesNewRomanPSMT" w:cs="TimesNewRomanPSMT"/>
        </w:rPr>
        <w:t>Identyfikacja</w:t>
      </w:r>
      <w:r w:rsidR="007117C2" w:rsidRPr="00C72329">
        <w:rPr>
          <w:rFonts w:ascii="TimesNewRomanPSMT" w:hAnsi="TimesNewRomanPSMT" w:cs="TimesNewRomanPSMT"/>
        </w:rPr>
        <w:t xml:space="preserve"> ryzyka</w:t>
      </w:r>
      <w:r w:rsidR="007117C2">
        <w:rPr>
          <w:rFonts w:ascii="TimesNewRomanPSMT" w:hAnsi="TimesNewRomanPSMT" w:cs="TimesNewRomanPSMT"/>
        </w:rPr>
        <w:t xml:space="preserve"> polega na ustaleniu ryzyka zagrażającego poszczególnym celom </w:t>
      </w:r>
      <w:r w:rsidR="007117C2">
        <w:rPr>
          <w:rFonts w:ascii="TimesNewRomanPSMT" w:hAnsi="TimesNewRomanPSMT" w:cs="TimesNewRomanPSMT"/>
        </w:rPr>
        <w:br/>
        <w:t>i zadaniom ustalonym dla Urzędu Gminy</w:t>
      </w:r>
      <w:r w:rsidR="00AB666A">
        <w:rPr>
          <w:rFonts w:ascii="TimesNewRomanPSMT" w:hAnsi="TimesNewRomanPSMT" w:cs="TimesNewRomanPSMT"/>
        </w:rPr>
        <w:t xml:space="preserve"> Krasnosielc</w:t>
      </w:r>
      <w:r w:rsidR="007117C2">
        <w:rPr>
          <w:rFonts w:ascii="TimesNewRomanPSMT" w:hAnsi="TimesNewRomanPSMT" w:cs="TimesNewRomanPSMT"/>
        </w:rPr>
        <w:t>.</w:t>
      </w:r>
      <w:r w:rsidR="00AD1627">
        <w:rPr>
          <w:rFonts w:ascii="TimesNewRomanPSMT" w:hAnsi="TimesNewRomanPSMT" w:cs="TimesNewRomanPSMT"/>
        </w:rPr>
        <w:t xml:space="preserve"> </w:t>
      </w:r>
      <w:r w:rsidR="00D912EC" w:rsidRPr="00D912EC">
        <w:rPr>
          <w:rFonts w:ascii="TimesNewRomanPSMT" w:hAnsi="TimesNewRomanPSMT" w:cs="TimesNewRomanPSMT"/>
        </w:rPr>
        <w:t>Pracownicy urzędu mają</w:t>
      </w:r>
      <w:r w:rsidR="00AD1627" w:rsidRPr="00D912EC">
        <w:rPr>
          <w:rFonts w:ascii="TimesNewRomanPSMT" w:hAnsi="TimesNewRomanPSMT" w:cs="TimesNewRomanPSMT"/>
        </w:rPr>
        <w:t xml:space="preserve"> prawo zgłaszać swojemu przełożonemu czynniki ryzyka oraz wszelkie odstępstwa od obowiązujących procedur.</w:t>
      </w:r>
    </w:p>
    <w:p w:rsidR="007117C2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Analizę ryzyk w Urzędzie Gminy </w:t>
      </w:r>
      <w:r w:rsidR="00AB666A">
        <w:rPr>
          <w:rFonts w:ascii="TimesNewRomanPSMT" w:hAnsi="TimesNewRomanPSMT" w:cs="TimesNewRomanPSMT"/>
        </w:rPr>
        <w:t xml:space="preserve">Krasnosielc </w:t>
      </w:r>
      <w:r>
        <w:rPr>
          <w:rFonts w:ascii="TimesNewRomanPSMT" w:hAnsi="TimesNewRomanPSMT" w:cs="TimesNewRomanPSMT"/>
        </w:rPr>
        <w:t xml:space="preserve">przeprowadza się przy użyciu Karty Analizy Ryzyka, której wzór określa </w:t>
      </w:r>
      <w:r w:rsidRPr="006760B0">
        <w:rPr>
          <w:rFonts w:ascii="TimesNewRomanPSMT" w:hAnsi="TimesNewRomanPSMT" w:cs="TimesNewRomanPSMT"/>
          <w:i/>
          <w:color w:val="000000" w:themeColor="text1"/>
          <w:u w:val="single"/>
        </w:rPr>
        <w:t>załącznik</w:t>
      </w:r>
      <w:r w:rsidR="00C72329" w:rsidRPr="006760B0">
        <w:rPr>
          <w:rFonts w:ascii="TimesNewRomanPSMT" w:hAnsi="TimesNewRomanPSMT" w:cs="TimesNewRomanPSMT"/>
          <w:i/>
          <w:color w:val="000000" w:themeColor="text1"/>
          <w:u w:val="single"/>
        </w:rPr>
        <w:t xml:space="preserve"> nr 1</w:t>
      </w:r>
      <w:r w:rsidRPr="006760B0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</w:rPr>
        <w:t>do niniejszej procedury.</w:t>
      </w:r>
    </w:p>
    <w:p w:rsidR="00EA46BB" w:rsidRPr="00EA46BB" w:rsidRDefault="00EA46BB" w:rsidP="00EA46BB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r w:rsidR="005B08BC" w:rsidRPr="00EA46BB">
        <w:rPr>
          <w:rFonts w:ascii="TimesNewRomanPSMT" w:hAnsi="TimesNewRomanPSMT" w:cs="TimesNewRomanPSMT"/>
        </w:rPr>
        <w:t>Ocena ryzyka polega na określeniu wpływu i prawdopodobieństwa ziszczenia się ryzyka</w:t>
      </w:r>
      <w:r>
        <w:rPr>
          <w:rFonts w:ascii="TimesNewRomanPSMT" w:hAnsi="TimesNewRomanPSMT" w:cs="TimesNewRomanPSMT"/>
        </w:rPr>
        <w:br/>
      </w:r>
      <w:r w:rsidR="005B08BC" w:rsidRPr="00EA46BB">
        <w:rPr>
          <w:rFonts w:ascii="TimesNewRomanPSMT" w:hAnsi="TimesNewRomanPSMT" w:cs="TimesNewRomanPSMT"/>
        </w:rPr>
        <w:t>a następnie ustaleniu jego isto</w:t>
      </w:r>
      <w:r w:rsidR="00C72329" w:rsidRPr="00EA46BB">
        <w:rPr>
          <w:rFonts w:ascii="TimesNewRomanPSMT" w:hAnsi="TimesNewRomanPSMT" w:cs="TimesNewRomanPSMT"/>
        </w:rPr>
        <w:t xml:space="preserve">tności, według zasad określonych w </w:t>
      </w:r>
      <w:r w:rsidRPr="00EA46BB">
        <w:t>§</w:t>
      </w:r>
      <w:r w:rsidRPr="00EA46BB">
        <w:rPr>
          <w:rFonts w:ascii="TimesNewRomanPSMT" w:hAnsi="TimesNewRomanPSMT" w:cs="TimesNewRomanPSMT"/>
        </w:rPr>
        <w:t xml:space="preserve"> 8</w:t>
      </w:r>
      <w:r>
        <w:rPr>
          <w:rFonts w:ascii="TimesNewRomanPSMT" w:hAnsi="TimesNewRomanPSMT" w:cs="TimesNewRomanPSMT"/>
        </w:rPr>
        <w:t>.</w:t>
      </w:r>
    </w:p>
    <w:p w:rsidR="005B08BC" w:rsidRDefault="005B08BC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Ustalenie wpływu ryzyka polega na określeniu przewidywanych skutków, jakie będzie miało dla realizacji zadania czy osiągania celów jednostki na dany rok.</w:t>
      </w:r>
      <w:r w:rsidR="00E108C2">
        <w:rPr>
          <w:rFonts w:ascii="TimesNewRomanPSMT" w:hAnsi="TimesNewRomanPSMT" w:cs="TimesNewRomanPSMT"/>
        </w:rPr>
        <w:t xml:space="preserve"> Do określenia wpływu ryzyka używana jest następująca skala ocen:</w:t>
      </w:r>
    </w:p>
    <w:p w:rsidR="00E108C2" w:rsidRDefault="00E108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duży – 3 punkty,</w:t>
      </w:r>
    </w:p>
    <w:p w:rsidR="00E108C2" w:rsidRDefault="00E108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średni – 2 punkty,</w:t>
      </w:r>
    </w:p>
    <w:p w:rsidR="00E108C2" w:rsidRDefault="00E108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mały – 1 punkt.</w:t>
      </w:r>
    </w:p>
    <w:p w:rsidR="00E108C2" w:rsidRDefault="00E108C2" w:rsidP="00E108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Ustalenie prawdopodobieństwa ziszczenia się ryzyka polega określeniu przewidywanej częstotliwości występowania w ciągu roku zdarzenia objętego ryzykiem. Do określenia prawdopodobieństwa</w:t>
      </w:r>
      <w:r w:rsidR="00EB1D70">
        <w:rPr>
          <w:rFonts w:ascii="TimesNewRomanPSMT" w:hAnsi="TimesNewRomanPSMT" w:cs="TimesNewRomanPSMT"/>
        </w:rPr>
        <w:t xml:space="preserve"> ryzyka stosowana</w:t>
      </w:r>
      <w:r>
        <w:rPr>
          <w:rFonts w:ascii="TimesNewRomanPSMT" w:hAnsi="TimesNewRomanPSMT" w:cs="TimesNewRomanPSMT"/>
        </w:rPr>
        <w:t xml:space="preserve"> jest następująca skala ocen:</w:t>
      </w:r>
    </w:p>
    <w:p w:rsidR="00E108C2" w:rsidRDefault="00E108C2" w:rsidP="00E108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duż</w:t>
      </w:r>
      <w:r w:rsidR="00EB1D70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 xml:space="preserve"> – 3 punkty,</w:t>
      </w:r>
    </w:p>
    <w:p w:rsidR="00E108C2" w:rsidRDefault="00E108C2" w:rsidP="00E108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średni</w:t>
      </w:r>
      <w:r w:rsidR="00EB1D70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 xml:space="preserve"> – 2 punkty,</w:t>
      </w:r>
    </w:p>
    <w:p w:rsidR="00E108C2" w:rsidRDefault="00EB1D70" w:rsidP="00E108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małe</w:t>
      </w:r>
      <w:r w:rsidR="00E108C2">
        <w:rPr>
          <w:rFonts w:ascii="TimesNewRomanPSMT" w:hAnsi="TimesNewRomanPSMT" w:cs="TimesNewRomanPSMT"/>
        </w:rPr>
        <w:t xml:space="preserve"> – 1 punkt.</w:t>
      </w:r>
    </w:p>
    <w:p w:rsidR="0083609F" w:rsidRDefault="0083609F" w:rsidP="00E108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Podczas określania wpływu i prawdopodobieństwa ziszczenia się ryzyka stosowane są zasady zawarte w </w:t>
      </w:r>
      <w:r w:rsidR="00EA46BB" w:rsidRPr="006760B0">
        <w:rPr>
          <w:rFonts w:ascii="TimesNewRomanPSMT" w:hAnsi="TimesNewRomanPSMT" w:cs="TimesNewRomanPSMT"/>
          <w:i/>
          <w:color w:val="000000" w:themeColor="text1"/>
          <w:u w:val="single"/>
        </w:rPr>
        <w:t>załączniku nr 2</w:t>
      </w:r>
      <w:r w:rsidRPr="006760B0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</w:rPr>
        <w:t>do niniejszej procedury</w:t>
      </w:r>
      <w:r w:rsidR="00EA46BB">
        <w:rPr>
          <w:rFonts w:ascii="TimesNewRomanPSMT" w:hAnsi="TimesNewRomanPSMT" w:cs="TimesNewRomanPSMT"/>
        </w:rPr>
        <w:t>.</w:t>
      </w:r>
    </w:p>
    <w:p w:rsidR="00E108C2" w:rsidRDefault="00E108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</w:p>
    <w:p w:rsidR="0083609F" w:rsidRDefault="0083609F" w:rsidP="0083609F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>
        <w:rPr>
          <w:rFonts w:ascii="TimesNewRomanPSMT" w:hAnsi="TimesNewRomanPSMT" w:cs="TimesNewRomanPSMT"/>
          <w:b/>
        </w:rPr>
        <w:t xml:space="preserve"> 8.</w:t>
      </w:r>
    </w:p>
    <w:p w:rsidR="00AB666A" w:rsidRDefault="00AB666A" w:rsidP="0083609F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E108C2" w:rsidRDefault="0083609F" w:rsidP="0083609F">
      <w:pPr>
        <w:autoSpaceDE w:val="0"/>
        <w:jc w:val="both"/>
        <w:rPr>
          <w:rFonts w:ascii="TimesNewRomanPSMT" w:hAnsi="TimesNewRomanPSMT" w:cs="TimesNewRomanPSMT"/>
        </w:rPr>
      </w:pPr>
      <w:r w:rsidRPr="0083609F">
        <w:rPr>
          <w:rFonts w:ascii="TimesNewRomanPSMT" w:hAnsi="TimesNewRomanPSMT" w:cs="TimesNewRomanPSMT"/>
        </w:rPr>
        <w:t>1.</w:t>
      </w:r>
      <w:r>
        <w:rPr>
          <w:rFonts w:ascii="TimesNewRomanPSMT" w:hAnsi="TimesNewRomanPSMT" w:cs="TimesNewRomanPSMT"/>
        </w:rPr>
        <w:t xml:space="preserve"> </w:t>
      </w:r>
      <w:r w:rsidRPr="0083609F">
        <w:rPr>
          <w:rFonts w:ascii="TimesNewRomanPSMT" w:hAnsi="TimesNewRomanPSMT" w:cs="TimesNewRomanPSMT"/>
        </w:rPr>
        <w:t>Na podstawie dokonanej oceny wpływu i pr</w:t>
      </w:r>
      <w:r w:rsidR="000539C5">
        <w:rPr>
          <w:rFonts w:ascii="TimesNewRomanPSMT" w:hAnsi="TimesNewRomanPSMT" w:cs="TimesNewRomanPSMT"/>
        </w:rPr>
        <w:t>awdopodobieństwa wystąpienia</w:t>
      </w:r>
      <w:r w:rsidRPr="0083609F">
        <w:rPr>
          <w:rFonts w:ascii="TimesNewRomanPSMT" w:hAnsi="TimesNewRomanPSMT" w:cs="TimesNewRomanPSMT"/>
        </w:rPr>
        <w:t xml:space="preserve"> ryzyka ustalany jest poziom istotności </w:t>
      </w:r>
      <w:r w:rsidR="000539C5">
        <w:rPr>
          <w:rFonts w:ascii="TimesNewRomanPSMT" w:hAnsi="TimesNewRomanPSMT" w:cs="TimesNewRomanPSMT"/>
        </w:rPr>
        <w:t>ryzyka, który ma wpływ na funkcjonowanie urzędu jako całości i osiągania wyznaczonych celów.</w:t>
      </w:r>
    </w:p>
    <w:p w:rsidR="0083609F" w:rsidRPr="0083609F" w:rsidRDefault="0083609F" w:rsidP="0083609F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Ustala się następujące poziomy </w:t>
      </w:r>
      <w:r w:rsidR="00D30196">
        <w:rPr>
          <w:rFonts w:ascii="TimesNewRomanPSMT" w:hAnsi="TimesNewRomanPSMT" w:cs="TimesNewRomanPSMT"/>
        </w:rPr>
        <w:t>istotności ryzyka:</w:t>
      </w:r>
    </w:p>
    <w:p w:rsidR="00A61A1D" w:rsidRPr="006760B0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</w:rPr>
        <w:t xml:space="preserve">1) </w:t>
      </w:r>
      <w:r>
        <w:rPr>
          <w:rFonts w:ascii="TimesNewRomanPSMT" w:hAnsi="TimesNewRomanPSMT" w:cs="TimesNewRomanPSMT"/>
          <w:u w:val="single"/>
        </w:rPr>
        <w:t>ryzyko poważne</w:t>
      </w:r>
      <w:r>
        <w:rPr>
          <w:rFonts w:ascii="TimesNewRomanPSMT" w:hAnsi="TimesNewRomanPSMT" w:cs="TimesNewRomanPSMT"/>
        </w:rPr>
        <w:t xml:space="preserve"> – </w:t>
      </w:r>
      <w:r w:rsidR="00A61A1D">
        <w:rPr>
          <w:rFonts w:ascii="TimesNewRomanPSMT" w:hAnsi="TimesNewRomanPSMT" w:cs="TimesNewRomanPSMT"/>
        </w:rPr>
        <w:t xml:space="preserve">ryzyko, którego iloczyn prawdopodobieństwa wystąpienia danego </w:t>
      </w:r>
      <w:r w:rsidR="00A61A1D" w:rsidRPr="006760B0">
        <w:rPr>
          <w:rFonts w:ascii="TimesNewRomanPSMT" w:hAnsi="TimesNewRomanPSMT" w:cs="TimesNewRomanPSMT"/>
          <w:color w:val="000000" w:themeColor="text1"/>
        </w:rPr>
        <w:t>zdarzenia oraz jego wpływu na organizacje pracy jednostki wynosi 6 lub 9 punktów.</w:t>
      </w:r>
    </w:p>
    <w:p w:rsidR="007117C2" w:rsidRPr="006760B0" w:rsidRDefault="00A61A1D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 w:rsidRPr="006760B0">
        <w:rPr>
          <w:rFonts w:ascii="TimesNewRomanPSMT" w:hAnsi="TimesNewRomanPSMT" w:cs="TimesNewRomanPSMT"/>
          <w:color w:val="000000" w:themeColor="text1"/>
        </w:rPr>
        <w:t>S</w:t>
      </w:r>
      <w:r w:rsidR="007117C2" w:rsidRPr="006760B0">
        <w:rPr>
          <w:rFonts w:ascii="TimesNewRomanPSMT" w:hAnsi="TimesNewRomanPSMT" w:cs="TimesNewRomanPSMT"/>
          <w:color w:val="000000" w:themeColor="text1"/>
        </w:rPr>
        <w:t>tanowi poważne zagrożenie dla działalności urzędu i osiągnięcia założonych celów, wymagane jest natychmiastowe działanie poprzez wprowadzenie skutecznych i efektywnych mechanizmów kontrolnych. Ryzyko to nie powinno być tolerowane.</w:t>
      </w:r>
    </w:p>
    <w:p w:rsidR="00AB666A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 w:rsidRPr="006760B0">
        <w:rPr>
          <w:rFonts w:ascii="TimesNewRomanPSMT" w:hAnsi="TimesNewRomanPSMT" w:cs="TimesNewRomanPSMT"/>
          <w:color w:val="000000" w:themeColor="text1"/>
        </w:rPr>
        <w:lastRenderedPageBreak/>
        <w:t xml:space="preserve">2) </w:t>
      </w:r>
      <w:r w:rsidRPr="006760B0">
        <w:rPr>
          <w:rFonts w:ascii="TimesNewRomanPSMT" w:hAnsi="TimesNewRomanPSMT" w:cs="TimesNewRomanPSMT"/>
          <w:color w:val="000000" w:themeColor="text1"/>
          <w:u w:val="single"/>
        </w:rPr>
        <w:t>ryzyko umiarkowane</w:t>
      </w:r>
      <w:r w:rsidRPr="006760B0">
        <w:rPr>
          <w:rFonts w:ascii="TimesNewRomanPSMT" w:hAnsi="TimesNewRomanPSMT" w:cs="TimesNewRomanPSMT"/>
          <w:color w:val="000000" w:themeColor="text1"/>
        </w:rPr>
        <w:t xml:space="preserve"> –</w:t>
      </w:r>
      <w:r w:rsidR="00A61A1D" w:rsidRPr="006760B0">
        <w:rPr>
          <w:rFonts w:ascii="TimesNewRomanPSMT" w:hAnsi="TimesNewRomanPSMT" w:cs="TimesNewRomanPSMT"/>
          <w:color w:val="000000" w:themeColor="text1"/>
        </w:rPr>
        <w:t xml:space="preserve"> ryzyko, którego iloczyn prawdopodobieństwa wystąpienia danego zdarzenia oraz jego wpływu na organizacje pracy jednostki wynosi 3 lub 4 punkty</w:t>
      </w:r>
      <w:r w:rsidR="00A61A1D" w:rsidRPr="006760B0">
        <w:rPr>
          <w:rFonts w:ascii="TimesNewRomanPSMT" w:hAnsi="TimesNewRomanPSMT" w:cs="TimesNewRomanPSMT"/>
          <w:color w:val="000000" w:themeColor="text1"/>
        </w:rPr>
        <w:br/>
        <w:t>M</w:t>
      </w:r>
      <w:r w:rsidRPr="006760B0">
        <w:rPr>
          <w:rFonts w:ascii="TimesNewRomanPSMT" w:hAnsi="TimesNewRomanPSMT" w:cs="TimesNewRomanPSMT"/>
          <w:color w:val="000000" w:themeColor="text1"/>
        </w:rPr>
        <w:t xml:space="preserve">oże wywierać wpływ na działalność urzędu, należy je monitorować i rozważyć potrzebę </w:t>
      </w:r>
    </w:p>
    <w:p w:rsidR="007117C2" w:rsidRPr="006760B0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 w:rsidRPr="006760B0">
        <w:rPr>
          <w:rFonts w:ascii="TimesNewRomanPSMT" w:hAnsi="TimesNewRomanPSMT" w:cs="TimesNewRomanPSMT"/>
          <w:color w:val="000000" w:themeColor="text1"/>
        </w:rPr>
        <w:t>zastosowania mechanizmów kontrolnych. Za monitorowanie odpowiedzialny jest właściciel ryzyka.</w:t>
      </w:r>
    </w:p>
    <w:p w:rsidR="007117C2" w:rsidRPr="006760B0" w:rsidRDefault="007117C2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 w:rsidRPr="006760B0">
        <w:rPr>
          <w:rFonts w:ascii="TimesNewRomanPSMT" w:hAnsi="TimesNewRomanPSMT" w:cs="TimesNewRomanPSMT"/>
          <w:color w:val="000000" w:themeColor="text1"/>
        </w:rPr>
        <w:t xml:space="preserve">3) </w:t>
      </w:r>
      <w:r w:rsidRPr="006760B0">
        <w:rPr>
          <w:rFonts w:ascii="TimesNewRomanPSMT" w:hAnsi="TimesNewRomanPSMT" w:cs="TimesNewRomanPSMT"/>
          <w:color w:val="000000" w:themeColor="text1"/>
          <w:u w:val="single"/>
        </w:rPr>
        <w:t>ryzyko nieznaczne</w:t>
      </w:r>
      <w:r w:rsidR="00A61A1D" w:rsidRPr="006760B0">
        <w:rPr>
          <w:rFonts w:ascii="TimesNewRomanPSMT" w:hAnsi="TimesNewRomanPSMT" w:cs="TimesNewRomanPSMT"/>
          <w:color w:val="000000" w:themeColor="text1"/>
          <w:u w:val="single"/>
        </w:rPr>
        <w:t xml:space="preserve"> </w:t>
      </w:r>
      <w:r w:rsidR="00A61A1D" w:rsidRPr="006760B0">
        <w:rPr>
          <w:rFonts w:ascii="TimesNewRomanPSMT" w:hAnsi="TimesNewRomanPSMT" w:cs="TimesNewRomanPSMT"/>
          <w:color w:val="000000" w:themeColor="text1"/>
        </w:rPr>
        <w:t>–</w:t>
      </w:r>
      <w:r w:rsidRPr="006760B0">
        <w:rPr>
          <w:rFonts w:ascii="TimesNewRomanPSMT" w:hAnsi="TimesNewRomanPSMT" w:cs="TimesNewRomanPSMT"/>
          <w:color w:val="000000" w:themeColor="text1"/>
        </w:rPr>
        <w:t xml:space="preserve"> </w:t>
      </w:r>
      <w:r w:rsidR="00A61A1D" w:rsidRPr="006760B0">
        <w:rPr>
          <w:rFonts w:ascii="TimesNewRomanPSMT" w:hAnsi="TimesNewRomanPSMT" w:cs="TimesNewRomanPSMT"/>
          <w:color w:val="000000" w:themeColor="text1"/>
        </w:rPr>
        <w:t>ryzyko, którego iloczyn prawdopodobieństwa wystąpienia danego zdarzenia oraz jego wpływu na organizacje pracy jednostki wynosi 1 lub 2 punkty.</w:t>
      </w:r>
      <w:r w:rsidR="00A61A1D" w:rsidRPr="006760B0">
        <w:rPr>
          <w:rFonts w:ascii="TimesNewRomanPSMT" w:hAnsi="TimesNewRomanPSMT" w:cs="TimesNewRomanPSMT"/>
          <w:color w:val="000000" w:themeColor="text1"/>
        </w:rPr>
        <w:br/>
      </w:r>
      <w:r w:rsidR="0094682F" w:rsidRPr="006760B0">
        <w:rPr>
          <w:rFonts w:ascii="TimesNewRomanPSMT" w:hAnsi="TimesNewRomanPSMT" w:cs="TimesNewRomanPSMT"/>
          <w:color w:val="000000" w:themeColor="text1"/>
        </w:rPr>
        <w:t>R</w:t>
      </w:r>
      <w:r w:rsidRPr="006760B0">
        <w:rPr>
          <w:rFonts w:ascii="TimesNewRomanPSMT" w:hAnsi="TimesNewRomanPSMT" w:cs="TimesNewRomanPSMT"/>
          <w:color w:val="000000" w:themeColor="text1"/>
        </w:rPr>
        <w:t>yzyko akceptowalne ale należy je monitorować, w miar</w:t>
      </w:r>
      <w:bookmarkStart w:id="0" w:name="_GoBack"/>
      <w:bookmarkEnd w:id="0"/>
      <w:r w:rsidRPr="006760B0">
        <w:rPr>
          <w:rFonts w:ascii="TimesNewRomanPSMT" w:hAnsi="TimesNewRomanPSMT" w:cs="TimesNewRomanPSMT"/>
          <w:color w:val="000000" w:themeColor="text1"/>
        </w:rPr>
        <w:t>ę potrzeb kontrolować.</w:t>
      </w:r>
    </w:p>
    <w:p w:rsidR="0094682F" w:rsidRDefault="0094682F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4) Niżej zostały przedstawione poziomy istotności ryzyka w formie graficzne</w:t>
      </w:r>
      <w:r w:rsidR="000539C5">
        <w:rPr>
          <w:rFonts w:ascii="TimesNewRomanPSMT" w:hAnsi="TimesNewRomanPSMT" w:cs="TimesNewRomanPSMT"/>
          <w:color w:val="000000" w:themeColor="text1"/>
        </w:rPr>
        <w:t xml:space="preserve">j – </w:t>
      </w:r>
      <w:r>
        <w:rPr>
          <w:rFonts w:ascii="TimesNewRomanPSMT" w:hAnsi="TimesNewRomanPSMT" w:cs="TimesNewRomanPSMT"/>
          <w:color w:val="000000" w:themeColor="text1"/>
        </w:rPr>
        <w:t>w postaci matrycy punktowej analizy ryzyka.</w:t>
      </w:r>
    </w:p>
    <w:p w:rsidR="00D912EC" w:rsidRDefault="00D912EC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  <w:color w:val="000000" w:themeColor="text1"/>
        </w:rPr>
      </w:pPr>
    </w:p>
    <w:p w:rsidR="0094682F" w:rsidRPr="005F3956" w:rsidRDefault="0094682F" w:rsidP="0094682F">
      <w:pPr>
        <w:pStyle w:val="Akapitzlist"/>
        <w:autoSpaceDE w:val="0"/>
        <w:ind w:left="0"/>
        <w:jc w:val="center"/>
        <w:rPr>
          <w:rFonts w:ascii="TimesNewRomanPSMT" w:hAnsi="TimesNewRomanPSMT" w:cs="TimesNewRomanPSMT"/>
          <w:b/>
          <w:color w:val="000000" w:themeColor="text1"/>
        </w:rPr>
      </w:pPr>
      <w:r w:rsidRPr="005F3956">
        <w:rPr>
          <w:rFonts w:ascii="TimesNewRomanPSMT" w:hAnsi="TimesNewRomanPSMT" w:cs="TimesNewRomanPSMT"/>
          <w:b/>
          <w:color w:val="000000" w:themeColor="text1"/>
        </w:rPr>
        <w:t>MATRYCA PUNKTOWEJ ANALIZY RYZYKA</w:t>
      </w:r>
    </w:p>
    <w:p w:rsidR="005F3956" w:rsidRDefault="005F3956" w:rsidP="0094682F">
      <w:pPr>
        <w:pStyle w:val="Akapitzlist"/>
        <w:autoSpaceDE w:val="0"/>
        <w:ind w:left="0"/>
        <w:jc w:val="center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ela-Siatka"/>
        <w:tblW w:w="8544" w:type="dxa"/>
        <w:tblInd w:w="920" w:type="dxa"/>
        <w:tblLook w:val="04A0"/>
      </w:tblPr>
      <w:tblGrid>
        <w:gridCol w:w="1809"/>
        <w:gridCol w:w="816"/>
        <w:gridCol w:w="1452"/>
        <w:gridCol w:w="993"/>
        <w:gridCol w:w="992"/>
        <w:gridCol w:w="2482"/>
      </w:tblGrid>
      <w:tr w:rsidR="00143979" w:rsidTr="000539C5">
        <w:trPr>
          <w:gridAfter w:val="4"/>
          <w:wAfter w:w="5919" w:type="dxa"/>
        </w:trPr>
        <w:tc>
          <w:tcPr>
            <w:tcW w:w="1809" w:type="dxa"/>
            <w:shd w:val="clear" w:color="auto" w:fill="D9D9D9" w:themeFill="background1" w:themeFillShade="D9"/>
          </w:tcPr>
          <w:p w:rsidR="00143979" w:rsidRPr="00F74D15" w:rsidRDefault="00143979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Wpływ ryzyka</w:t>
            </w:r>
          </w:p>
        </w:tc>
        <w:tc>
          <w:tcPr>
            <w:tcW w:w="816" w:type="dxa"/>
            <w:shd w:val="clear" w:color="auto" w:fill="FFFFFF" w:themeFill="background1"/>
          </w:tcPr>
          <w:p w:rsidR="00143979" w:rsidRPr="000539C5" w:rsidRDefault="00143979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0539C5">
              <w:rPr>
                <w:rFonts w:ascii="TimesNewRomanPSMT" w:hAnsi="TimesNewRomanPSMT" w:cs="TimesNewRomanPSMT"/>
                <w:b/>
                <w:color w:val="000000" w:themeColor="text1"/>
              </w:rPr>
              <w:t>Waga</w:t>
            </w:r>
          </w:p>
        </w:tc>
      </w:tr>
      <w:tr w:rsidR="00F74D15" w:rsidTr="000539C5">
        <w:trPr>
          <w:gridAfter w:val="1"/>
          <w:wAfter w:w="2482" w:type="dxa"/>
          <w:trHeight w:val="583"/>
        </w:trPr>
        <w:tc>
          <w:tcPr>
            <w:tcW w:w="1809" w:type="dxa"/>
            <w:shd w:val="clear" w:color="auto" w:fill="D9D9D9" w:themeFill="background1" w:themeFillShade="D9"/>
          </w:tcPr>
          <w:p w:rsidR="00143979" w:rsidRPr="00F74D15" w:rsidRDefault="00143979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duży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143979" w:rsidRPr="00F74D15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3</w:t>
            </w:r>
          </w:p>
        </w:tc>
        <w:tc>
          <w:tcPr>
            <w:tcW w:w="1452" w:type="dxa"/>
            <w:shd w:val="clear" w:color="auto" w:fill="E5B8B7" w:themeFill="accent2" w:themeFillTint="66"/>
            <w:vAlign w:val="center"/>
          </w:tcPr>
          <w:p w:rsidR="00143979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3</w:t>
            </w:r>
          </w:p>
        </w:tc>
        <w:tc>
          <w:tcPr>
            <w:tcW w:w="993" w:type="dxa"/>
            <w:shd w:val="clear" w:color="auto" w:fill="FF0000"/>
            <w:vAlign w:val="center"/>
          </w:tcPr>
          <w:p w:rsidR="00143979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A8489B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9</w:t>
            </w:r>
          </w:p>
        </w:tc>
      </w:tr>
      <w:tr w:rsidR="00F74D15" w:rsidTr="000539C5">
        <w:trPr>
          <w:gridAfter w:val="1"/>
          <w:wAfter w:w="2482" w:type="dxa"/>
          <w:trHeight w:val="546"/>
        </w:trPr>
        <w:tc>
          <w:tcPr>
            <w:tcW w:w="1809" w:type="dxa"/>
            <w:shd w:val="clear" w:color="auto" w:fill="D9D9D9" w:themeFill="background1" w:themeFillShade="D9"/>
          </w:tcPr>
          <w:p w:rsidR="00143979" w:rsidRPr="00F74D15" w:rsidRDefault="00143979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średni</w:t>
            </w:r>
          </w:p>
        </w:tc>
        <w:tc>
          <w:tcPr>
            <w:tcW w:w="816" w:type="dxa"/>
            <w:shd w:val="clear" w:color="auto" w:fill="FFFFFF" w:themeFill="background1"/>
          </w:tcPr>
          <w:p w:rsidR="00A8489B" w:rsidRPr="00F74D15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2</w:t>
            </w:r>
          </w:p>
        </w:tc>
        <w:tc>
          <w:tcPr>
            <w:tcW w:w="1452" w:type="dxa"/>
            <w:shd w:val="clear" w:color="auto" w:fill="C2D69B" w:themeFill="accent3" w:themeFillTint="99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2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6</w:t>
            </w:r>
          </w:p>
        </w:tc>
      </w:tr>
      <w:tr w:rsidR="00F74D15" w:rsidTr="000539C5">
        <w:trPr>
          <w:gridAfter w:val="1"/>
          <w:wAfter w:w="2482" w:type="dxa"/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3979" w:rsidRPr="00F74D15" w:rsidRDefault="00143979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mały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D15" w:rsidRPr="00F74D15" w:rsidRDefault="00143979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1</w:t>
            </w:r>
          </w:p>
        </w:tc>
        <w:tc>
          <w:tcPr>
            <w:tcW w:w="1452" w:type="dxa"/>
            <w:shd w:val="clear" w:color="auto" w:fill="C2D69B" w:themeFill="accent3" w:themeFillTint="99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1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143979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  <w:r>
              <w:rPr>
                <w:rFonts w:ascii="TimesNewRomanPSMT" w:hAnsi="TimesNewRomanPSMT" w:cs="TimesNewRomanPSMT"/>
                <w:color w:val="000000" w:themeColor="text1"/>
              </w:rPr>
              <w:t>3</w:t>
            </w:r>
          </w:p>
        </w:tc>
      </w:tr>
      <w:tr w:rsidR="00F74D15" w:rsidTr="000539C5">
        <w:trPr>
          <w:trHeight w:val="423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  <w:tc>
          <w:tcPr>
            <w:tcW w:w="816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74D15" w:rsidRPr="00F74D15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A8489B" w:rsidRPr="00F74D15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74D15" w:rsidRPr="00F74D15" w:rsidRDefault="000539C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>
              <w:rPr>
                <w:rFonts w:ascii="TimesNewRomanPSMT" w:hAnsi="TimesNewRomanPSMT" w:cs="TimesNewRomanPSMT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74D15" w:rsidRPr="00F74D15" w:rsidRDefault="00F74D15" w:rsidP="00A8489B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3</w:t>
            </w:r>
          </w:p>
        </w:tc>
        <w:tc>
          <w:tcPr>
            <w:tcW w:w="2482" w:type="dxa"/>
            <w:shd w:val="clear" w:color="auto" w:fill="FFFFFF" w:themeFill="background1"/>
          </w:tcPr>
          <w:p w:rsidR="00F74D15" w:rsidRPr="00F74D15" w:rsidRDefault="005F3956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>
              <w:rPr>
                <w:rFonts w:ascii="TimesNewRomanPSMT" w:hAnsi="TimesNewRomanPSMT" w:cs="TimesNewRomanPSMT"/>
                <w:b/>
                <w:color w:val="000000" w:themeColor="text1"/>
              </w:rPr>
              <w:t>Waga</w:t>
            </w:r>
          </w:p>
        </w:tc>
      </w:tr>
      <w:tr w:rsidR="00F74D15" w:rsidTr="000539C5">
        <w:trPr>
          <w:trHeight w:val="4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74D15" w:rsidRDefault="00F74D15" w:rsidP="00143979">
            <w:pPr>
              <w:pStyle w:val="Akapitzlist"/>
              <w:autoSpaceDE w:val="0"/>
              <w:ind w:left="0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F74D15" w:rsidRP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małe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4D15" w:rsidRP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średnie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4D15" w:rsidRP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duże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F74D15" w:rsidRPr="00F74D15" w:rsidRDefault="00F74D15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b/>
                <w:color w:val="000000" w:themeColor="text1"/>
              </w:rPr>
            </w:pPr>
            <w:r w:rsidRPr="00F74D15">
              <w:rPr>
                <w:rFonts w:ascii="TimesNewRomanPSMT" w:hAnsi="TimesNewRomanPSMT" w:cs="TimesNewRomanPSMT"/>
                <w:b/>
                <w:color w:val="000000" w:themeColor="text1"/>
              </w:rPr>
              <w:t>Prawdopodobieństwo</w:t>
            </w:r>
          </w:p>
        </w:tc>
      </w:tr>
    </w:tbl>
    <w:p w:rsidR="005F3956" w:rsidRDefault="005F3956" w:rsidP="000A10A9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392"/>
      </w:tblGrid>
      <w:tr w:rsidR="005F3956" w:rsidTr="005F3956">
        <w:tc>
          <w:tcPr>
            <w:tcW w:w="392" w:type="dxa"/>
            <w:shd w:val="clear" w:color="auto" w:fill="C2D69B" w:themeFill="accent3" w:themeFillTint="99"/>
          </w:tcPr>
          <w:p w:rsidR="005F3956" w:rsidRDefault="005F3956" w:rsidP="0094682F">
            <w:pPr>
              <w:pStyle w:val="Akapitzlist"/>
              <w:autoSpaceDE w:val="0"/>
              <w:ind w:left="0"/>
              <w:jc w:val="center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</w:tr>
    </w:tbl>
    <w:p w:rsidR="005F3956" w:rsidRDefault="005F3956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Ryzyko nieznaczne</w:t>
      </w:r>
    </w:p>
    <w:p w:rsidR="005F3956" w:rsidRDefault="005F3956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392"/>
      </w:tblGrid>
      <w:tr w:rsidR="005F3956" w:rsidTr="005F3956">
        <w:tc>
          <w:tcPr>
            <w:tcW w:w="392" w:type="dxa"/>
            <w:shd w:val="clear" w:color="auto" w:fill="F2DBDB" w:themeFill="accent2" w:themeFillTint="33"/>
          </w:tcPr>
          <w:p w:rsidR="005F3956" w:rsidRDefault="005F3956" w:rsidP="005F3956">
            <w:pPr>
              <w:pStyle w:val="Akapitzlist"/>
              <w:autoSpaceDE w:val="0"/>
              <w:ind w:left="0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</w:tr>
    </w:tbl>
    <w:p w:rsidR="005F3956" w:rsidRDefault="005F3956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Ryzyko umiarkowane</w:t>
      </w:r>
    </w:p>
    <w:p w:rsidR="000A10A9" w:rsidRDefault="000A10A9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392"/>
      </w:tblGrid>
      <w:tr w:rsidR="005F3956" w:rsidTr="005F3956">
        <w:tc>
          <w:tcPr>
            <w:tcW w:w="392" w:type="dxa"/>
            <w:shd w:val="clear" w:color="auto" w:fill="FF0000"/>
          </w:tcPr>
          <w:p w:rsidR="005F3956" w:rsidRDefault="005F3956" w:rsidP="005F3956">
            <w:pPr>
              <w:pStyle w:val="Akapitzlist"/>
              <w:autoSpaceDE w:val="0"/>
              <w:ind w:left="0"/>
              <w:rPr>
                <w:rFonts w:ascii="TimesNewRomanPSMT" w:hAnsi="TimesNewRomanPSMT" w:cs="TimesNewRomanPSMT"/>
                <w:color w:val="000000" w:themeColor="text1"/>
              </w:rPr>
            </w:pPr>
          </w:p>
        </w:tc>
      </w:tr>
    </w:tbl>
    <w:p w:rsidR="005F3956" w:rsidRDefault="005F3956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Ryzyko poważne</w:t>
      </w:r>
    </w:p>
    <w:p w:rsidR="00AB666A" w:rsidRPr="0094682F" w:rsidRDefault="00AB666A" w:rsidP="005F3956">
      <w:pPr>
        <w:pStyle w:val="Akapitzlist"/>
        <w:autoSpaceDE w:val="0"/>
        <w:ind w:left="0"/>
        <w:rPr>
          <w:rFonts w:ascii="TimesNewRomanPSMT" w:hAnsi="TimesNewRomanPSMT" w:cs="TimesNewRomanPSMT"/>
          <w:color w:val="000000" w:themeColor="text1"/>
        </w:rPr>
      </w:pPr>
    </w:p>
    <w:p w:rsidR="007117C2" w:rsidRDefault="007117C2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>
        <w:rPr>
          <w:b/>
        </w:rPr>
        <w:t>§</w:t>
      </w:r>
      <w:r w:rsidR="00F26D3A">
        <w:rPr>
          <w:rFonts w:ascii="TimesNewRomanPSMT" w:hAnsi="TimesNewRomanPSMT" w:cs="TimesNewRomanPSMT"/>
          <w:b/>
        </w:rPr>
        <w:t xml:space="preserve"> 9</w:t>
      </w:r>
      <w:r>
        <w:rPr>
          <w:rFonts w:ascii="TimesNewRomanPSMT" w:hAnsi="TimesNewRomanPSMT" w:cs="TimesNewRomanPSMT"/>
          <w:b/>
        </w:rPr>
        <w:t>.</w:t>
      </w:r>
    </w:p>
    <w:p w:rsidR="00AB666A" w:rsidRDefault="00AB666A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EA46BB" w:rsidRDefault="00EA46BB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M</w:t>
      </w:r>
      <w:r w:rsidRPr="00EA46BB">
        <w:rPr>
          <w:rFonts w:ascii="TimesNewRomanPSMT" w:hAnsi="TimesNewRomanPSMT" w:cs="TimesNewRomanPSMT"/>
          <w:b/>
        </w:rPr>
        <w:t>etody przeciwdziałania ryzyku</w:t>
      </w:r>
    </w:p>
    <w:p w:rsidR="00F26D3A" w:rsidRDefault="00F26D3A" w:rsidP="007117C2">
      <w:pPr>
        <w:pStyle w:val="Akapitzlist"/>
        <w:autoSpaceDE w:val="0"/>
        <w:jc w:val="center"/>
        <w:rPr>
          <w:rFonts w:ascii="TimesNewRomanPSMT" w:hAnsi="TimesNewRomanPSMT" w:cs="TimesNewRomanPSMT"/>
          <w:b/>
        </w:rPr>
      </w:pPr>
    </w:p>
    <w:p w:rsidR="007117C2" w:rsidRPr="00F26D3A" w:rsidRDefault="00F26D3A" w:rsidP="007117C2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 w:rsidRPr="00F26D3A">
        <w:rPr>
          <w:rFonts w:ascii="TimesNewRomanPSMT" w:hAnsi="TimesNewRomanPSMT" w:cs="TimesNewRomanPSMT"/>
        </w:rPr>
        <w:t>Rodzaj reakcji na ryzyko</w:t>
      </w:r>
      <w:r w:rsidR="007117C2" w:rsidRPr="00F26D3A">
        <w:rPr>
          <w:rFonts w:ascii="TimesNewRomanPSMT" w:hAnsi="TimesNewRomanPSMT" w:cs="TimesNewRomanPSMT"/>
        </w:rPr>
        <w:t>:</w:t>
      </w:r>
    </w:p>
    <w:p w:rsidR="007117C2" w:rsidRDefault="007117C2" w:rsidP="00D912EC">
      <w:pPr>
        <w:numPr>
          <w:ilvl w:val="0"/>
          <w:numId w:val="4"/>
        </w:numPr>
        <w:tabs>
          <w:tab w:val="clear" w:pos="1920"/>
          <w:tab w:val="num" w:pos="851"/>
          <w:tab w:val="center" w:pos="5322"/>
          <w:tab w:val="right" w:pos="9360"/>
        </w:tabs>
        <w:suppressAutoHyphens/>
        <w:spacing w:before="120" w:after="120"/>
        <w:ind w:left="850" w:hanging="425"/>
        <w:jc w:val="both"/>
        <w:rPr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przenies</w:t>
      </w:r>
      <w:r w:rsidR="00D912EC">
        <w:rPr>
          <w:rFonts w:ascii="TimesNewRomanPSMT" w:hAnsi="TimesNewRomanPSMT" w:cs="TimesNewRomanPSMT"/>
          <w:color w:val="000000" w:themeColor="text1"/>
        </w:rPr>
        <w:t xml:space="preserve">ienie ryzyka na inny podmiot – </w:t>
      </w:r>
      <w:r>
        <w:rPr>
          <w:color w:val="000000" w:themeColor="text1"/>
        </w:rPr>
        <w:t xml:space="preserve">dotyczyć to będzie pewnej kategorii ryzyk </w:t>
      </w:r>
      <w:r>
        <w:rPr>
          <w:color w:val="000000" w:themeColor="text1"/>
        </w:rPr>
        <w:br/>
        <w:t>w odniesieniu do których nastąpi przeniesienie odpowiedzialności za ich skutki na inny podmiot między innymi poprzez ubezpieczenia czy zlecanie wykonania określonych czynności obarczonych ryzykiem instytucjom zewnętrznym na ich odpowiedzialność,</w:t>
      </w:r>
    </w:p>
    <w:p w:rsidR="007117C2" w:rsidRDefault="007117C2" w:rsidP="00D912EC">
      <w:pPr>
        <w:numPr>
          <w:ilvl w:val="0"/>
          <w:numId w:val="4"/>
        </w:numPr>
        <w:tabs>
          <w:tab w:val="clear" w:pos="1920"/>
          <w:tab w:val="num" w:pos="851"/>
          <w:tab w:val="center" w:pos="5322"/>
          <w:tab w:val="right" w:pos="9360"/>
        </w:tabs>
        <w:suppressAutoHyphens/>
        <w:spacing w:before="120" w:after="120"/>
        <w:ind w:left="850" w:hanging="425"/>
        <w:jc w:val="both"/>
      </w:pPr>
      <w:r>
        <w:t>przeciwdziałanie ryzyku</w:t>
      </w:r>
      <w:r w:rsidR="00D912EC" w:rsidRPr="00D912EC">
        <w:t xml:space="preserve"> – </w:t>
      </w:r>
      <w:r>
        <w:t>dotyczyć to będzie kategorii ryzyk, które wymagać będą podjęcia zdecydowanych, przemyślanych i zapl</w:t>
      </w:r>
      <w:r w:rsidR="00D912EC">
        <w:t xml:space="preserve">anowanych działań prowadzących </w:t>
      </w:r>
      <w:r>
        <w:t>do likwidacji lub znacznego ograniczenia ryzyka,</w:t>
      </w:r>
    </w:p>
    <w:p w:rsidR="00AB666A" w:rsidRPr="00AB666A" w:rsidRDefault="00D912EC" w:rsidP="00AB666A">
      <w:pPr>
        <w:numPr>
          <w:ilvl w:val="0"/>
          <w:numId w:val="4"/>
        </w:numPr>
        <w:tabs>
          <w:tab w:val="clear" w:pos="1920"/>
          <w:tab w:val="num" w:pos="851"/>
          <w:tab w:val="center" w:pos="5322"/>
          <w:tab w:val="right" w:pos="9360"/>
        </w:tabs>
        <w:suppressAutoHyphens/>
        <w:spacing w:before="120" w:after="120"/>
        <w:ind w:left="850" w:hanging="425"/>
        <w:jc w:val="both"/>
        <w:rPr>
          <w:rFonts w:ascii="TimesNewRomanPSMT" w:hAnsi="TimesNewRomanPSMT" w:cs="TimesNewRomanPSMT"/>
        </w:rPr>
      </w:pPr>
      <w:r>
        <w:t>wycofanie się z planowanych czynności lub zrealizowania</w:t>
      </w:r>
      <w:r w:rsidR="007117C2">
        <w:t xml:space="preserve"> zadań z uwa</w:t>
      </w:r>
      <w:r>
        <w:t xml:space="preserve">gi na niemożliwy do akceptacji – </w:t>
      </w:r>
      <w:r w:rsidR="007117C2">
        <w:t>tolerowania poziom ryzyka z nimi związanego, o ile realizacja nie jest obligatoryjna.</w:t>
      </w:r>
    </w:p>
    <w:p w:rsidR="00AB666A" w:rsidRDefault="00AB666A" w:rsidP="007117C2">
      <w:pPr>
        <w:autoSpaceDE w:val="0"/>
        <w:ind w:left="720" w:hanging="720"/>
        <w:jc w:val="center"/>
        <w:rPr>
          <w:b/>
        </w:rPr>
      </w:pPr>
    </w:p>
    <w:p w:rsidR="00AB666A" w:rsidRDefault="00AB666A" w:rsidP="007117C2">
      <w:pPr>
        <w:autoSpaceDE w:val="0"/>
        <w:ind w:left="720" w:hanging="720"/>
        <w:jc w:val="center"/>
        <w:rPr>
          <w:b/>
        </w:rPr>
      </w:pPr>
    </w:p>
    <w:p w:rsidR="007117C2" w:rsidRDefault="00D912EC" w:rsidP="007117C2">
      <w:pPr>
        <w:autoSpaceDE w:val="0"/>
        <w:ind w:left="720" w:hanging="720"/>
        <w:jc w:val="center"/>
      </w:pPr>
      <w:r>
        <w:rPr>
          <w:b/>
        </w:rPr>
        <w:t>§ 10</w:t>
      </w:r>
      <w:r w:rsidR="007117C2">
        <w:t>.</w:t>
      </w:r>
    </w:p>
    <w:p w:rsidR="007117C2" w:rsidRDefault="007117C2" w:rsidP="007117C2">
      <w:pPr>
        <w:autoSpaceDE w:val="0"/>
        <w:spacing w:before="120" w:after="120"/>
        <w:jc w:val="both"/>
      </w:pPr>
      <w:r>
        <w:t>1.</w:t>
      </w:r>
      <w:r w:rsidR="00D912EC">
        <w:t xml:space="preserve"> </w:t>
      </w:r>
      <w:r>
        <w:t xml:space="preserve">Okresowy przegląd ryzyk obejmuje dokonanie nie rzadziej niż raz w roku przeglądu wszystkich zidentyfikowanych ryzyk celem określenia, czy dane ryzyko uległo zmianie ( na korzyść lub niekorzyść jednostki) i czy nie uległa zmianie dokonana uprzednio ocena </w:t>
      </w:r>
      <w:r w:rsidR="00D912EC">
        <w:br/>
      </w:r>
      <w:r>
        <w:t>w zakresie jego istotności.</w:t>
      </w:r>
    </w:p>
    <w:p w:rsidR="00061BE8" w:rsidRDefault="007117C2" w:rsidP="00D912EC">
      <w:pPr>
        <w:autoSpaceDE w:val="0"/>
        <w:spacing w:before="120" w:after="120"/>
        <w:jc w:val="both"/>
      </w:pPr>
      <w:r>
        <w:t>2. Określenie czy dane ryzyko uległo zmianie, czy nie uległa zmianie dokonana uprzednio ocena w zakresie istotności ryzyka może być dokonane przy tworzeniu karty analizy ryzyka na nowy rok.</w:t>
      </w:r>
    </w:p>
    <w:sectPr w:rsidR="00061BE8" w:rsidSect="00F1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4150011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eastAsia="Times New Roman"/>
      </w:rPr>
    </w:lvl>
  </w:abstractNum>
  <w:abstractNum w:abstractNumId="1">
    <w:nsid w:val="0FAB40B4"/>
    <w:multiLevelType w:val="hybridMultilevel"/>
    <w:tmpl w:val="C7FE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2EB"/>
    <w:multiLevelType w:val="hybridMultilevel"/>
    <w:tmpl w:val="D62E3A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257E0"/>
    <w:multiLevelType w:val="hybridMultilevel"/>
    <w:tmpl w:val="EF6C8C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9330D04"/>
    <w:multiLevelType w:val="hybridMultilevel"/>
    <w:tmpl w:val="F508E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32301"/>
    <w:multiLevelType w:val="hybridMultilevel"/>
    <w:tmpl w:val="2CD0B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62F0"/>
    <w:multiLevelType w:val="hybridMultilevel"/>
    <w:tmpl w:val="2CD0B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8048B"/>
    <w:multiLevelType w:val="hybridMultilevel"/>
    <w:tmpl w:val="E370F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7C2B"/>
    <w:rsid w:val="00017C2B"/>
    <w:rsid w:val="000539C5"/>
    <w:rsid w:val="00056F72"/>
    <w:rsid w:val="00061BE8"/>
    <w:rsid w:val="000A10A9"/>
    <w:rsid w:val="000E347B"/>
    <w:rsid w:val="00143979"/>
    <w:rsid w:val="00391459"/>
    <w:rsid w:val="00400D43"/>
    <w:rsid w:val="004B5845"/>
    <w:rsid w:val="005B08BC"/>
    <w:rsid w:val="005C2D4F"/>
    <w:rsid w:val="005F3956"/>
    <w:rsid w:val="005F63BC"/>
    <w:rsid w:val="006176EB"/>
    <w:rsid w:val="006760B0"/>
    <w:rsid w:val="007117C2"/>
    <w:rsid w:val="007D356F"/>
    <w:rsid w:val="0083609F"/>
    <w:rsid w:val="0094682F"/>
    <w:rsid w:val="00A242CC"/>
    <w:rsid w:val="00A61A1D"/>
    <w:rsid w:val="00A66C02"/>
    <w:rsid w:val="00A8489B"/>
    <w:rsid w:val="00AB666A"/>
    <w:rsid w:val="00AD1627"/>
    <w:rsid w:val="00B731B1"/>
    <w:rsid w:val="00BF5146"/>
    <w:rsid w:val="00C53146"/>
    <w:rsid w:val="00C72329"/>
    <w:rsid w:val="00D30196"/>
    <w:rsid w:val="00D73E51"/>
    <w:rsid w:val="00D912EC"/>
    <w:rsid w:val="00E108C2"/>
    <w:rsid w:val="00EA46BB"/>
    <w:rsid w:val="00EB1D70"/>
    <w:rsid w:val="00EB5011"/>
    <w:rsid w:val="00F1054D"/>
    <w:rsid w:val="00F26D3A"/>
    <w:rsid w:val="00F7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7117C2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117C2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7C2"/>
    <w:pPr>
      <w:ind w:left="720"/>
      <w:contextualSpacing/>
    </w:pPr>
  </w:style>
  <w:style w:type="table" w:styleId="Tabela-Siatka">
    <w:name w:val="Table Grid"/>
    <w:basedOn w:val="Standardowy"/>
    <w:uiPriority w:val="59"/>
    <w:rsid w:val="0094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7117C2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117C2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7C2"/>
    <w:pPr>
      <w:ind w:left="720"/>
      <w:contextualSpacing/>
    </w:pPr>
  </w:style>
  <w:style w:type="table" w:styleId="Tabela-Siatka">
    <w:name w:val="Table Grid"/>
    <w:basedOn w:val="Standardowy"/>
    <w:uiPriority w:val="59"/>
    <w:rsid w:val="0094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E7C9-82CE-4882-ABE5-DAFFB299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5</cp:revision>
  <cp:lastPrinted>2013-11-26T09:58:00Z</cp:lastPrinted>
  <dcterms:created xsi:type="dcterms:W3CDTF">2015-06-24T13:47:00Z</dcterms:created>
  <dcterms:modified xsi:type="dcterms:W3CDTF">2015-06-26T10:05:00Z</dcterms:modified>
</cp:coreProperties>
</file>