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ED" w:rsidRPr="00875BED" w:rsidRDefault="00875BED" w:rsidP="00875BED">
      <w:pPr>
        <w:pStyle w:val="Default"/>
        <w:jc w:val="center"/>
        <w:rPr>
          <w:b/>
          <w:bCs/>
          <w:sz w:val="32"/>
          <w:szCs w:val="32"/>
        </w:rPr>
      </w:pPr>
      <w:r w:rsidRPr="00875BED">
        <w:rPr>
          <w:b/>
          <w:bCs/>
          <w:sz w:val="32"/>
          <w:szCs w:val="32"/>
        </w:rPr>
        <w:t>NOWE</w:t>
      </w:r>
      <w:r>
        <w:rPr>
          <w:b/>
          <w:bCs/>
          <w:sz w:val="32"/>
          <w:szCs w:val="32"/>
        </w:rPr>
        <w:t xml:space="preserve">  </w:t>
      </w:r>
      <w:r w:rsidRPr="00875BED">
        <w:rPr>
          <w:b/>
          <w:bCs/>
          <w:sz w:val="32"/>
          <w:szCs w:val="32"/>
        </w:rPr>
        <w:t>ZASADY</w:t>
      </w:r>
      <w:r>
        <w:rPr>
          <w:b/>
          <w:bCs/>
          <w:sz w:val="32"/>
          <w:szCs w:val="32"/>
        </w:rPr>
        <w:t xml:space="preserve"> </w:t>
      </w:r>
      <w:r w:rsidRPr="00875BED">
        <w:rPr>
          <w:b/>
          <w:bCs/>
          <w:sz w:val="32"/>
          <w:szCs w:val="32"/>
        </w:rPr>
        <w:t xml:space="preserve"> SEGREGACJI</w:t>
      </w:r>
    </w:p>
    <w:p w:rsidR="00875BED" w:rsidRDefault="00875BED" w:rsidP="00FC5E0F">
      <w:pPr>
        <w:pStyle w:val="Default"/>
        <w:jc w:val="both"/>
        <w:rPr>
          <w:b/>
          <w:bCs/>
          <w:sz w:val="22"/>
          <w:szCs w:val="22"/>
        </w:rPr>
      </w:pPr>
    </w:p>
    <w:p w:rsidR="00875BED" w:rsidRDefault="00875BED" w:rsidP="00FC5E0F">
      <w:pPr>
        <w:pStyle w:val="Default"/>
        <w:jc w:val="both"/>
        <w:rPr>
          <w:b/>
          <w:bCs/>
        </w:rPr>
      </w:pPr>
    </w:p>
    <w:p w:rsidR="00FC5E0F" w:rsidRPr="00A411B9" w:rsidRDefault="00875BED" w:rsidP="004073A9">
      <w:pPr>
        <w:pStyle w:val="Default"/>
        <w:ind w:left="851"/>
        <w:jc w:val="both"/>
        <w:rPr>
          <w:sz w:val="28"/>
          <w:szCs w:val="28"/>
        </w:rPr>
      </w:pPr>
      <w:r w:rsidRPr="00A411B9">
        <w:rPr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157480</wp:posOffset>
            </wp:positionV>
            <wp:extent cx="647065" cy="1605915"/>
            <wp:effectExtent l="19050" t="0" r="635" b="0"/>
            <wp:wrapTight wrapText="bothSides">
              <wp:wrapPolygon edited="0">
                <wp:start x="-636" y="0"/>
                <wp:lineTo x="-636" y="21267"/>
                <wp:lineTo x="21621" y="21267"/>
                <wp:lineTo x="21621" y="0"/>
                <wp:lineTo x="-636" y="0"/>
              </wp:wrapPolygon>
            </wp:wrapTight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E0F" w:rsidRPr="00A411B9">
        <w:rPr>
          <w:b/>
          <w:bCs/>
          <w:color w:val="0070C0"/>
          <w:sz w:val="28"/>
          <w:szCs w:val="28"/>
        </w:rPr>
        <w:t>Papier - pojemnik</w:t>
      </w:r>
      <w:r w:rsidR="00FC5E0F" w:rsidRPr="00A411B9">
        <w:rPr>
          <w:b/>
          <w:bCs/>
          <w:color w:val="1F497D" w:themeColor="text2"/>
          <w:sz w:val="28"/>
          <w:szCs w:val="28"/>
        </w:rPr>
        <w:t>/worek niebieski</w:t>
      </w:r>
      <w:r w:rsidR="00C75470" w:rsidRPr="00A411B9">
        <w:rPr>
          <w:b/>
          <w:bCs/>
          <w:color w:val="1F497D" w:themeColor="text2"/>
          <w:sz w:val="28"/>
          <w:szCs w:val="28"/>
        </w:rPr>
        <w:t>.</w:t>
      </w:r>
      <w:r w:rsidR="00FC5E0F" w:rsidRPr="00A411B9">
        <w:rPr>
          <w:b/>
          <w:bCs/>
          <w:sz w:val="28"/>
          <w:szCs w:val="28"/>
        </w:rPr>
        <w:t xml:space="preserve"> Wrzucamy: </w:t>
      </w:r>
      <w:r w:rsidR="00FC5E0F" w:rsidRPr="00A411B9">
        <w:rPr>
          <w:sz w:val="28"/>
          <w:szCs w:val="28"/>
        </w:rPr>
        <w:t>opakowanie z papieru; karton; tekturę; katalogi; ulotki; prospekty; gazety i czasopisma; papier szkolny i biurowy; zadrukowane kartki; zeszyty i książki; papier pakowy; torby i worki papierowe</w:t>
      </w:r>
      <w:r w:rsidR="004073A9">
        <w:rPr>
          <w:sz w:val="28"/>
          <w:szCs w:val="28"/>
        </w:rPr>
        <w:t>.</w:t>
      </w:r>
      <w:r w:rsidR="00FC5E0F" w:rsidRPr="00A411B9">
        <w:rPr>
          <w:sz w:val="28"/>
          <w:szCs w:val="28"/>
        </w:rPr>
        <w:t xml:space="preserve"> </w:t>
      </w:r>
      <w:r w:rsidR="00FC5E0F" w:rsidRPr="00A411B9">
        <w:rPr>
          <w:b/>
          <w:bCs/>
          <w:sz w:val="28"/>
          <w:szCs w:val="28"/>
        </w:rPr>
        <w:t xml:space="preserve">Nie wrzucamy: </w:t>
      </w:r>
      <w:r w:rsidR="00FC5E0F" w:rsidRPr="00A411B9">
        <w:rPr>
          <w:sz w:val="28"/>
          <w:szCs w:val="28"/>
        </w:rPr>
        <w:t>ręczników papierowych i zużytych chusteczek higienicznych; papieru lakierowanego i powleczonego folią; papieru zatłuszczonego lub mocno zabrudzonego; kartonów po mleku i napojach; papierowych worków po nawozach, cemencie i innych materiałach budowlanyc</w:t>
      </w:r>
      <w:r w:rsidR="004073A9">
        <w:rPr>
          <w:sz w:val="28"/>
          <w:szCs w:val="28"/>
        </w:rPr>
        <w:t xml:space="preserve">h; tapet; pieluch jednorazowych </w:t>
      </w:r>
      <w:r w:rsidR="004073A9">
        <w:rPr>
          <w:sz w:val="28"/>
          <w:szCs w:val="28"/>
        </w:rPr>
        <w:br/>
      </w:r>
      <w:r w:rsidR="00FC5E0F" w:rsidRPr="00A411B9">
        <w:rPr>
          <w:sz w:val="28"/>
          <w:szCs w:val="28"/>
        </w:rPr>
        <w:t>i podpasek; zatłuszczonych jednorazowych opakowań z papieru i naczyń jednorazowych; ubrań</w:t>
      </w:r>
      <w:r w:rsidR="00C75470" w:rsidRPr="00A411B9">
        <w:rPr>
          <w:sz w:val="28"/>
          <w:szCs w:val="28"/>
        </w:rPr>
        <w:t>.</w:t>
      </w:r>
    </w:p>
    <w:p w:rsidR="0006454F" w:rsidRDefault="0006454F" w:rsidP="00A411B9">
      <w:pPr>
        <w:pStyle w:val="Default"/>
        <w:rPr>
          <w:b/>
          <w:bCs/>
          <w:sz w:val="20"/>
          <w:szCs w:val="20"/>
        </w:rPr>
      </w:pPr>
    </w:p>
    <w:p w:rsidR="0006454F" w:rsidRDefault="0006454F" w:rsidP="0006454F">
      <w:pPr>
        <w:pStyle w:val="Default"/>
        <w:ind w:left="993"/>
        <w:rPr>
          <w:b/>
          <w:bCs/>
          <w:sz w:val="20"/>
          <w:szCs w:val="20"/>
        </w:rPr>
      </w:pPr>
    </w:p>
    <w:p w:rsidR="0006454F" w:rsidRPr="00A411B9" w:rsidRDefault="00875BED" w:rsidP="00A411B9">
      <w:pPr>
        <w:pStyle w:val="Default"/>
        <w:ind w:left="851"/>
        <w:jc w:val="both"/>
        <w:rPr>
          <w:sz w:val="28"/>
          <w:szCs w:val="28"/>
        </w:rPr>
      </w:pPr>
      <w:r w:rsidRPr="00A411B9">
        <w:rPr>
          <w:b/>
          <w:bCs/>
          <w:noProof/>
          <w:color w:val="00B050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76835</wp:posOffset>
            </wp:positionV>
            <wp:extent cx="695325" cy="1526540"/>
            <wp:effectExtent l="19050" t="0" r="9525" b="0"/>
            <wp:wrapTight wrapText="bothSides">
              <wp:wrapPolygon edited="0">
                <wp:start x="-592" y="0"/>
                <wp:lineTo x="-592" y="21295"/>
                <wp:lineTo x="21896" y="21295"/>
                <wp:lineTo x="21896" y="0"/>
                <wp:lineTo x="-592" y="0"/>
              </wp:wrapPolygon>
            </wp:wrapTight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54F" w:rsidRPr="00A411B9">
        <w:rPr>
          <w:b/>
          <w:bCs/>
          <w:color w:val="00B050"/>
          <w:sz w:val="28"/>
          <w:szCs w:val="28"/>
        </w:rPr>
        <w:t>Szkło - pojemnik/worek zielony</w:t>
      </w:r>
      <w:r w:rsidR="0006454F" w:rsidRPr="00A411B9">
        <w:rPr>
          <w:b/>
          <w:bCs/>
          <w:sz w:val="28"/>
          <w:szCs w:val="28"/>
        </w:rPr>
        <w:t xml:space="preserve"> (z możliwością rozdzielenia na szkło bezbarwne - biały i szkło kolorowe - zielony)</w:t>
      </w:r>
      <w:r w:rsidR="004073A9">
        <w:rPr>
          <w:b/>
          <w:bCs/>
          <w:sz w:val="28"/>
          <w:szCs w:val="28"/>
        </w:rPr>
        <w:t>.</w:t>
      </w:r>
      <w:r w:rsidR="0006454F" w:rsidRPr="00A411B9">
        <w:rPr>
          <w:b/>
          <w:bCs/>
          <w:sz w:val="28"/>
          <w:szCs w:val="28"/>
        </w:rPr>
        <w:t xml:space="preserve"> Wrzucamy: </w:t>
      </w:r>
      <w:r w:rsidR="0006454F" w:rsidRPr="00A411B9">
        <w:rPr>
          <w:sz w:val="28"/>
          <w:szCs w:val="28"/>
        </w:rPr>
        <w:t xml:space="preserve">butelki i słoiki po napojach </w:t>
      </w:r>
      <w:r w:rsidR="004073A9">
        <w:rPr>
          <w:sz w:val="28"/>
          <w:szCs w:val="28"/>
        </w:rPr>
        <w:br/>
      </w:r>
      <w:r w:rsidR="0006454F" w:rsidRPr="00A411B9">
        <w:rPr>
          <w:sz w:val="28"/>
          <w:szCs w:val="28"/>
        </w:rPr>
        <w:t>i żywności (w tym butelki po napojach alkoholowych i olejach roślinnych); szklane opakowania po kosmetykach (o ile nie są wykonane z trwale połączonych kilku surowców)</w:t>
      </w:r>
      <w:r w:rsidR="004073A9">
        <w:rPr>
          <w:sz w:val="28"/>
          <w:szCs w:val="28"/>
        </w:rPr>
        <w:t>.</w:t>
      </w:r>
      <w:r w:rsidR="0006454F" w:rsidRPr="00A411B9">
        <w:rPr>
          <w:sz w:val="28"/>
          <w:szCs w:val="28"/>
        </w:rPr>
        <w:t xml:space="preserve"> </w:t>
      </w:r>
      <w:r w:rsidR="0006454F" w:rsidRPr="00A411B9">
        <w:rPr>
          <w:b/>
          <w:bCs/>
          <w:sz w:val="28"/>
          <w:szCs w:val="28"/>
        </w:rPr>
        <w:t xml:space="preserve">Nie wrzucamy: </w:t>
      </w:r>
      <w:r w:rsidR="0006454F" w:rsidRPr="00A411B9">
        <w:rPr>
          <w:sz w:val="28"/>
          <w:szCs w:val="28"/>
        </w:rPr>
        <w:t xml:space="preserve">ceramiki, doniczek, porcelany, fajansu, kryształów; szkła okularowego; szkła żaroodpornego; zniczy z zawartością wosku; żarówek </w:t>
      </w:r>
      <w:r w:rsidR="004073A9">
        <w:rPr>
          <w:sz w:val="28"/>
          <w:szCs w:val="28"/>
        </w:rPr>
        <w:br/>
      </w:r>
      <w:r w:rsidR="0006454F" w:rsidRPr="00A411B9">
        <w:rPr>
          <w:sz w:val="28"/>
          <w:szCs w:val="28"/>
        </w:rPr>
        <w:t>i świetlówek; reflektorów; opakowań po lekach, rozpuszczalnikach, olejach silnikowych; luster; szyb okiennych i zbrojonych; monitorów i lamp telewizyjnych; termometrów i strzykawek</w:t>
      </w:r>
      <w:r w:rsidR="00C75470" w:rsidRPr="00A411B9">
        <w:rPr>
          <w:sz w:val="28"/>
          <w:szCs w:val="28"/>
        </w:rPr>
        <w:t>.</w:t>
      </w:r>
      <w:r w:rsidR="0006454F" w:rsidRPr="00A411B9">
        <w:rPr>
          <w:sz w:val="28"/>
          <w:szCs w:val="28"/>
        </w:rPr>
        <w:t xml:space="preserve"> </w:t>
      </w:r>
    </w:p>
    <w:p w:rsidR="0006454F" w:rsidRDefault="0006454F" w:rsidP="00A411B9">
      <w:pPr>
        <w:pStyle w:val="Default"/>
        <w:jc w:val="both"/>
        <w:rPr>
          <w:b/>
          <w:bCs/>
          <w:sz w:val="20"/>
          <w:szCs w:val="20"/>
        </w:rPr>
      </w:pPr>
    </w:p>
    <w:p w:rsidR="0006454F" w:rsidRPr="00A411B9" w:rsidRDefault="00875BED" w:rsidP="00A411B9">
      <w:pPr>
        <w:pStyle w:val="Default"/>
        <w:ind w:left="851"/>
        <w:jc w:val="both"/>
        <w:rPr>
          <w:sz w:val="28"/>
          <w:szCs w:val="28"/>
        </w:rPr>
      </w:pPr>
      <w:r w:rsidRPr="00A411B9">
        <w:rPr>
          <w:b/>
          <w:bCs/>
          <w:noProof/>
          <w:color w:val="FFC000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229870</wp:posOffset>
            </wp:positionV>
            <wp:extent cx="648335" cy="1685290"/>
            <wp:effectExtent l="19050" t="0" r="0" b="0"/>
            <wp:wrapTight wrapText="bothSides">
              <wp:wrapPolygon edited="0">
                <wp:start x="-635" y="0"/>
                <wp:lineTo x="-635" y="21242"/>
                <wp:lineTo x="21579" y="21242"/>
                <wp:lineTo x="21579" y="0"/>
                <wp:lineTo x="-635" y="0"/>
              </wp:wrapPolygon>
            </wp:wrapTight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54F" w:rsidRPr="00A411B9">
        <w:rPr>
          <w:b/>
          <w:bCs/>
          <w:color w:val="FFC000"/>
          <w:sz w:val="28"/>
          <w:szCs w:val="28"/>
        </w:rPr>
        <w:t>Metale i tworzywa sztuczne - pojemnik/ worek żółty</w:t>
      </w:r>
      <w:r w:rsidR="0006454F" w:rsidRPr="00A411B9">
        <w:rPr>
          <w:b/>
          <w:bCs/>
          <w:sz w:val="28"/>
          <w:szCs w:val="28"/>
        </w:rPr>
        <w:t xml:space="preserve"> Wrzucamy: </w:t>
      </w:r>
      <w:r w:rsidR="0006454F" w:rsidRPr="00A411B9">
        <w:rPr>
          <w:sz w:val="28"/>
          <w:szCs w:val="28"/>
        </w:rPr>
        <w:t xml:space="preserve">odkręcone </w:t>
      </w:r>
      <w:r w:rsidR="004073A9">
        <w:rPr>
          <w:sz w:val="28"/>
          <w:szCs w:val="28"/>
        </w:rPr>
        <w:br/>
      </w:r>
      <w:r w:rsidR="0006454F" w:rsidRPr="00A411B9">
        <w:rPr>
          <w:sz w:val="28"/>
          <w:szCs w:val="28"/>
        </w:rPr>
        <w:t xml:space="preserve">i zgniecione plastikowe butelki po napojach; nakrętki, o ile nie zbieramy ich osobno w ramach akcji dobroczynnych; plastikowe opakowania po produktach spożywczych; opakowania </w:t>
      </w:r>
      <w:proofErr w:type="spellStart"/>
      <w:r w:rsidR="0006454F" w:rsidRPr="00A411B9">
        <w:rPr>
          <w:sz w:val="28"/>
          <w:szCs w:val="28"/>
        </w:rPr>
        <w:t>wielomateriałowe</w:t>
      </w:r>
      <w:proofErr w:type="spellEnd"/>
      <w:r w:rsidR="0006454F" w:rsidRPr="00A411B9">
        <w:rPr>
          <w:sz w:val="28"/>
          <w:szCs w:val="28"/>
        </w:rPr>
        <w:t xml:space="preserve"> (np. kartony po mleku i sokach); opakowania po środkach czystości (np. proszkach do prania), kosmetykach (np. szamponach, paście do zębów) itp.; plastikowe torby, worki, reklamówki, inne folie; aluminiowe puszki po napojach i sokach; puszki po konserwach; folię aluminiową; metale kolorowe; kapsle, zakrętki od słoików; zabawki (zabawki z tworzywa sztucznego, o ile nie są wykonane z trwale połączonych kilku surowców)</w:t>
      </w:r>
      <w:r w:rsidR="004073A9">
        <w:rPr>
          <w:sz w:val="28"/>
          <w:szCs w:val="28"/>
        </w:rPr>
        <w:t>.</w:t>
      </w:r>
      <w:r w:rsidR="0006454F" w:rsidRPr="00A411B9">
        <w:rPr>
          <w:sz w:val="28"/>
          <w:szCs w:val="28"/>
        </w:rPr>
        <w:t xml:space="preserve"> </w:t>
      </w:r>
      <w:r w:rsidR="0006454F" w:rsidRPr="00A411B9">
        <w:rPr>
          <w:b/>
          <w:bCs/>
          <w:sz w:val="28"/>
          <w:szCs w:val="28"/>
        </w:rPr>
        <w:t xml:space="preserve">Nie wrzucamy: </w:t>
      </w:r>
      <w:r w:rsidR="0006454F" w:rsidRPr="00A411B9">
        <w:rPr>
          <w:sz w:val="28"/>
          <w:szCs w:val="28"/>
        </w:rPr>
        <w:t>butelek i pojemników z zawartością; opakowań po lekach i zużytych artykułów medycznych; opakowań po olejach silnikowych; części samochodowych; zużytych baterii i akumulatorów; puszek i pojemników po farbach i lakierach; zużytego sprzętu elektronicznego i AGD</w:t>
      </w:r>
      <w:r w:rsidR="00C75470" w:rsidRPr="00A411B9">
        <w:rPr>
          <w:sz w:val="28"/>
          <w:szCs w:val="28"/>
        </w:rPr>
        <w:t>.</w:t>
      </w:r>
      <w:r w:rsidR="0006454F" w:rsidRPr="00A411B9">
        <w:rPr>
          <w:sz w:val="28"/>
          <w:szCs w:val="28"/>
        </w:rPr>
        <w:t xml:space="preserve"> </w:t>
      </w:r>
    </w:p>
    <w:p w:rsidR="0006454F" w:rsidRDefault="004073A9" w:rsidP="0006454F">
      <w:pPr>
        <w:pStyle w:val="Defaul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132080</wp:posOffset>
            </wp:positionV>
            <wp:extent cx="647065" cy="1476375"/>
            <wp:effectExtent l="19050" t="0" r="635" b="0"/>
            <wp:wrapTight wrapText="bothSides">
              <wp:wrapPolygon edited="0">
                <wp:start x="-636" y="0"/>
                <wp:lineTo x="-636" y="21461"/>
                <wp:lineTo x="21621" y="21461"/>
                <wp:lineTo x="21621" y="0"/>
                <wp:lineTo x="-636" y="0"/>
              </wp:wrapPolygon>
            </wp:wrapTight>
            <wp:docPr id="5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470" w:rsidRPr="00A411B9" w:rsidRDefault="00C75470" w:rsidP="0006454F">
      <w:pPr>
        <w:pStyle w:val="Default"/>
        <w:rPr>
          <w:b/>
          <w:bCs/>
          <w:sz w:val="20"/>
          <w:szCs w:val="20"/>
        </w:rPr>
      </w:pPr>
    </w:p>
    <w:p w:rsidR="0006454F" w:rsidRPr="00A411B9" w:rsidRDefault="0006454F" w:rsidP="00C75470">
      <w:pPr>
        <w:pStyle w:val="Default"/>
        <w:jc w:val="both"/>
        <w:rPr>
          <w:sz w:val="28"/>
          <w:szCs w:val="28"/>
        </w:rPr>
      </w:pPr>
      <w:r w:rsidRPr="00A411B9">
        <w:rPr>
          <w:b/>
          <w:bCs/>
          <w:color w:val="984806" w:themeColor="accent6" w:themeShade="80"/>
          <w:sz w:val="28"/>
          <w:szCs w:val="28"/>
        </w:rPr>
        <w:t>Odpady ulegające biodegradacji - pojemnik/worek brązowy</w:t>
      </w:r>
      <w:r w:rsidR="00C75470" w:rsidRPr="00A411B9">
        <w:rPr>
          <w:b/>
          <w:bCs/>
          <w:color w:val="984806" w:themeColor="accent6" w:themeShade="80"/>
          <w:sz w:val="28"/>
          <w:szCs w:val="28"/>
        </w:rPr>
        <w:t>.</w:t>
      </w:r>
      <w:r w:rsidRPr="00A411B9">
        <w:rPr>
          <w:b/>
          <w:bCs/>
          <w:sz w:val="28"/>
          <w:szCs w:val="28"/>
        </w:rPr>
        <w:t xml:space="preserve"> Wrzucamy: </w:t>
      </w:r>
      <w:r w:rsidRPr="00A411B9">
        <w:rPr>
          <w:sz w:val="28"/>
          <w:szCs w:val="28"/>
        </w:rPr>
        <w:t xml:space="preserve">odpadki warzywne i owocowe (w tym obierki itp.); gałęzie drzew i krzewów; skoszoną trawę, liście, kwiaty; trociny i korę drzew; resztki jedzenia. </w:t>
      </w:r>
      <w:r w:rsidRPr="00A411B9">
        <w:rPr>
          <w:b/>
          <w:bCs/>
          <w:sz w:val="28"/>
          <w:szCs w:val="28"/>
        </w:rPr>
        <w:t xml:space="preserve">Nie wrzucamy: </w:t>
      </w:r>
      <w:r w:rsidRPr="00A411B9">
        <w:rPr>
          <w:sz w:val="28"/>
          <w:szCs w:val="28"/>
        </w:rPr>
        <w:t xml:space="preserve">kości zwierząt; odchodów zwierząt; popiołu z węgla kamiennego; leków; drewna impregnowanego; płyt wiórowych i MDF; ziemi i kamieni; innych odpadów komunalnych (w tym niebezpiecznych). </w:t>
      </w:r>
    </w:p>
    <w:p w:rsidR="008207EE" w:rsidRPr="00A411B9" w:rsidRDefault="008207EE" w:rsidP="004073A9">
      <w:pPr>
        <w:jc w:val="both"/>
        <w:rPr>
          <w:sz w:val="28"/>
          <w:szCs w:val="28"/>
        </w:rPr>
      </w:pPr>
    </w:p>
    <w:p w:rsidR="00395F73" w:rsidRPr="00A411B9" w:rsidRDefault="0006454F" w:rsidP="004073A9">
      <w:pPr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1B9">
        <w:rPr>
          <w:rFonts w:ascii="Times New Roman" w:hAnsi="Times New Roman" w:cs="Times New Roman"/>
          <w:b/>
          <w:bCs/>
          <w:sz w:val="28"/>
          <w:szCs w:val="28"/>
        </w:rPr>
        <w:t>Odpady zmieszane: Do tego pojemnika wrzucamy odpady nie klasyfikujące się do w/w frakcji.</w:t>
      </w:r>
    </w:p>
    <w:sectPr w:rsidR="00395F73" w:rsidRPr="00A411B9" w:rsidSect="00A411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207EE"/>
    <w:rsid w:val="00024D1C"/>
    <w:rsid w:val="0006454F"/>
    <w:rsid w:val="000D0213"/>
    <w:rsid w:val="00395F73"/>
    <w:rsid w:val="004073A9"/>
    <w:rsid w:val="00491F5F"/>
    <w:rsid w:val="006D1583"/>
    <w:rsid w:val="008207EE"/>
    <w:rsid w:val="008750F0"/>
    <w:rsid w:val="00875BED"/>
    <w:rsid w:val="00947878"/>
    <w:rsid w:val="00A411B9"/>
    <w:rsid w:val="00C75470"/>
    <w:rsid w:val="00C90B65"/>
    <w:rsid w:val="00EC492C"/>
    <w:rsid w:val="00FC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5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7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5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95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FA12-2910-43E5-9C29-AFF460CE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6</cp:revision>
  <dcterms:created xsi:type="dcterms:W3CDTF">2018-01-10T08:06:00Z</dcterms:created>
  <dcterms:modified xsi:type="dcterms:W3CDTF">2018-01-10T11:18:00Z</dcterms:modified>
</cp:coreProperties>
</file>